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37C90" w14:textId="77777777" w:rsidR="00A30967" w:rsidRPr="004E4AA7" w:rsidRDefault="00A30967" w:rsidP="000D3B07">
      <w:pPr>
        <w:widowControl w:val="0"/>
        <w:suppressAutoHyphens/>
        <w:autoSpaceDN w:val="0"/>
        <w:spacing w:before="120" w:after="120"/>
        <w:jc w:val="both"/>
        <w:textAlignment w:val="baseline"/>
        <w:rPr>
          <w:rFonts w:eastAsia="Andale Sans UI"/>
          <w:kern w:val="3"/>
          <w:sz w:val="20"/>
          <w:szCs w:val="20"/>
          <w:lang w:eastAsia="ja-JP" w:bidi="fa-IR"/>
        </w:rPr>
      </w:pPr>
    </w:p>
    <w:p w14:paraId="4C2E9341" w14:textId="77777777" w:rsidR="00A30967" w:rsidRPr="004E4AA7" w:rsidRDefault="00A30967" w:rsidP="000D3B07">
      <w:pPr>
        <w:spacing w:before="120" w:after="120"/>
        <w:ind w:firstLine="432"/>
        <w:jc w:val="both"/>
        <w:rPr>
          <w:sz w:val="20"/>
        </w:rPr>
      </w:pPr>
    </w:p>
    <w:p w14:paraId="31D3F084" w14:textId="77777777" w:rsidR="00A30967" w:rsidRPr="004E4AA7" w:rsidRDefault="00A30967" w:rsidP="000D3B07">
      <w:pPr>
        <w:spacing w:before="120" w:after="120"/>
        <w:ind w:firstLine="432"/>
        <w:jc w:val="both"/>
        <w:rPr>
          <w:sz w:val="20"/>
          <w:szCs w:val="40"/>
        </w:rPr>
      </w:pPr>
    </w:p>
    <w:p w14:paraId="6849AC1C" w14:textId="77777777" w:rsidR="00950D17" w:rsidRDefault="00950D17" w:rsidP="00950D17">
      <w:pPr>
        <w:pStyle w:val="Tytu"/>
        <w:rPr>
          <w:sz w:val="56"/>
          <w:szCs w:val="56"/>
        </w:rPr>
      </w:pPr>
    </w:p>
    <w:p w14:paraId="13533BD3" w14:textId="77777777" w:rsidR="00950D17" w:rsidRDefault="00950D17" w:rsidP="00950D17">
      <w:pPr>
        <w:pStyle w:val="Tytu"/>
        <w:rPr>
          <w:sz w:val="56"/>
          <w:szCs w:val="56"/>
        </w:rPr>
      </w:pPr>
    </w:p>
    <w:p w14:paraId="31C72618" w14:textId="77777777" w:rsidR="00950D17" w:rsidRDefault="00950D17" w:rsidP="00950D17">
      <w:pPr>
        <w:pStyle w:val="Tytu"/>
        <w:rPr>
          <w:sz w:val="56"/>
          <w:szCs w:val="56"/>
        </w:rPr>
      </w:pPr>
    </w:p>
    <w:p w14:paraId="2ABED1DE" w14:textId="7B2ABDFA" w:rsidR="00A30967" w:rsidRPr="00950D17" w:rsidRDefault="00A30967" w:rsidP="00950D17">
      <w:pPr>
        <w:pStyle w:val="Tytu"/>
        <w:rPr>
          <w:sz w:val="56"/>
          <w:szCs w:val="56"/>
        </w:rPr>
      </w:pPr>
      <w:r w:rsidRPr="00950D17">
        <w:rPr>
          <w:sz w:val="56"/>
          <w:szCs w:val="56"/>
        </w:rPr>
        <w:t>Opis systemu informatycznego</w:t>
      </w:r>
    </w:p>
    <w:p w14:paraId="75860A49" w14:textId="2779B50A" w:rsidR="00A30967" w:rsidRPr="00950D17" w:rsidRDefault="00E80B48" w:rsidP="00950D17">
      <w:pPr>
        <w:pStyle w:val="Tytu"/>
        <w:rPr>
          <w:sz w:val="56"/>
          <w:szCs w:val="56"/>
        </w:rPr>
      </w:pPr>
      <w:r w:rsidRPr="00950D17">
        <w:rPr>
          <w:sz w:val="56"/>
          <w:szCs w:val="56"/>
        </w:rPr>
        <w:t>Krajowy Rejestr Zadłużonych</w:t>
      </w:r>
    </w:p>
    <w:p w14:paraId="32458E27" w14:textId="1F01D477" w:rsidR="00A30967" w:rsidRPr="00950D17" w:rsidRDefault="00872A1C" w:rsidP="00950D17">
      <w:pPr>
        <w:pStyle w:val="Tytu"/>
        <w:rPr>
          <w:sz w:val="56"/>
          <w:szCs w:val="56"/>
        </w:rPr>
      </w:pPr>
      <w:r w:rsidRPr="00950D17">
        <w:rPr>
          <w:sz w:val="56"/>
          <w:szCs w:val="56"/>
        </w:rPr>
        <w:t>(</w:t>
      </w:r>
      <w:r w:rsidR="00E80B48" w:rsidRPr="00950D17">
        <w:rPr>
          <w:sz w:val="56"/>
          <w:szCs w:val="56"/>
        </w:rPr>
        <w:t>KRZ</w:t>
      </w:r>
      <w:r w:rsidRPr="00950D17">
        <w:rPr>
          <w:sz w:val="56"/>
          <w:szCs w:val="56"/>
        </w:rPr>
        <w:t>)</w:t>
      </w:r>
    </w:p>
    <w:p w14:paraId="316B3CEB" w14:textId="77777777" w:rsidR="00A30967" w:rsidRPr="004E4AA7" w:rsidRDefault="00A30967" w:rsidP="000D3B07">
      <w:pPr>
        <w:spacing w:before="120" w:after="120"/>
        <w:ind w:firstLine="432"/>
        <w:jc w:val="both"/>
        <w:rPr>
          <w:sz w:val="20"/>
        </w:rPr>
      </w:pPr>
    </w:p>
    <w:p w14:paraId="7A0CD989" w14:textId="77777777" w:rsidR="00A30967" w:rsidRPr="004E4AA7" w:rsidRDefault="00A30967" w:rsidP="000D3B07">
      <w:pPr>
        <w:spacing w:before="120" w:after="120"/>
        <w:ind w:firstLine="432"/>
        <w:jc w:val="both"/>
        <w:rPr>
          <w:sz w:val="20"/>
        </w:rPr>
      </w:pPr>
    </w:p>
    <w:p w14:paraId="5A0258A0" w14:textId="77777777" w:rsidR="00A30967" w:rsidRPr="004E4AA7" w:rsidRDefault="00A30967" w:rsidP="000D3B07">
      <w:pPr>
        <w:spacing w:before="120" w:after="120"/>
        <w:ind w:firstLine="432"/>
        <w:jc w:val="both"/>
        <w:rPr>
          <w:sz w:val="20"/>
        </w:rPr>
      </w:pPr>
    </w:p>
    <w:p w14:paraId="270ED5B5" w14:textId="77777777" w:rsidR="00A30967" w:rsidRPr="004E4AA7" w:rsidRDefault="00A30967" w:rsidP="000D3B07">
      <w:pPr>
        <w:spacing w:before="120" w:after="120"/>
        <w:ind w:firstLine="432"/>
        <w:jc w:val="both"/>
        <w:rPr>
          <w:sz w:val="20"/>
        </w:rPr>
      </w:pPr>
    </w:p>
    <w:p w14:paraId="7F294396" w14:textId="77777777" w:rsidR="00A30967" w:rsidRPr="004E4AA7" w:rsidRDefault="00A30967" w:rsidP="000D3B07">
      <w:pPr>
        <w:spacing w:before="120" w:after="120"/>
        <w:ind w:firstLine="432"/>
        <w:jc w:val="both"/>
        <w:rPr>
          <w:sz w:val="20"/>
        </w:rPr>
      </w:pPr>
    </w:p>
    <w:p w14:paraId="6D12D297" w14:textId="77777777" w:rsidR="00A30967" w:rsidRPr="004E4AA7" w:rsidRDefault="00A30967" w:rsidP="000D3B07">
      <w:pPr>
        <w:spacing w:before="120" w:after="120"/>
        <w:ind w:firstLine="432"/>
        <w:jc w:val="both"/>
        <w:rPr>
          <w:sz w:val="20"/>
        </w:rPr>
      </w:pPr>
    </w:p>
    <w:p w14:paraId="0625E9DD" w14:textId="77777777" w:rsidR="00A30967" w:rsidRPr="004E4AA7" w:rsidRDefault="00A30967" w:rsidP="000D3B07">
      <w:pPr>
        <w:spacing w:before="120" w:after="120"/>
        <w:ind w:firstLine="432"/>
        <w:jc w:val="both"/>
        <w:rPr>
          <w:sz w:val="20"/>
        </w:rPr>
      </w:pPr>
    </w:p>
    <w:p w14:paraId="77897243" w14:textId="77777777" w:rsidR="00A30967" w:rsidRPr="004E4AA7" w:rsidRDefault="00A30967" w:rsidP="000D3B07">
      <w:pPr>
        <w:spacing w:before="120" w:after="120"/>
        <w:ind w:firstLine="432"/>
        <w:jc w:val="both"/>
        <w:rPr>
          <w:sz w:val="20"/>
        </w:rPr>
      </w:pPr>
    </w:p>
    <w:p w14:paraId="6EF17045" w14:textId="77777777" w:rsidR="00A30967" w:rsidRPr="004E4AA7" w:rsidRDefault="00A30967" w:rsidP="000D3B07">
      <w:pPr>
        <w:spacing w:before="120" w:after="120"/>
        <w:ind w:firstLine="432"/>
        <w:jc w:val="both"/>
        <w:rPr>
          <w:sz w:val="20"/>
        </w:rPr>
      </w:pPr>
    </w:p>
    <w:p w14:paraId="3F6CF1B1" w14:textId="77777777" w:rsidR="00A30967" w:rsidRPr="004E4AA7" w:rsidRDefault="00A30967" w:rsidP="000D3B07">
      <w:pPr>
        <w:spacing w:before="120" w:after="120"/>
        <w:ind w:firstLine="432"/>
        <w:jc w:val="both"/>
        <w:rPr>
          <w:sz w:val="20"/>
        </w:rPr>
      </w:pPr>
    </w:p>
    <w:p w14:paraId="5180D90F" w14:textId="77777777" w:rsidR="00A30967" w:rsidRPr="004E4AA7" w:rsidRDefault="00A30967" w:rsidP="000D3B07">
      <w:pPr>
        <w:spacing w:before="120" w:after="120"/>
        <w:ind w:firstLine="432"/>
        <w:jc w:val="both"/>
        <w:rPr>
          <w:sz w:val="20"/>
        </w:rPr>
      </w:pPr>
    </w:p>
    <w:p w14:paraId="5713F269" w14:textId="77777777" w:rsidR="00A30967" w:rsidRPr="004E4AA7" w:rsidRDefault="00A30967" w:rsidP="000D3B07">
      <w:pPr>
        <w:spacing w:before="120" w:after="120"/>
        <w:ind w:firstLine="432"/>
        <w:jc w:val="both"/>
        <w:rPr>
          <w:sz w:val="20"/>
        </w:rPr>
      </w:pPr>
    </w:p>
    <w:p w14:paraId="33477771" w14:textId="77777777" w:rsidR="00A30967" w:rsidRPr="004E4AA7" w:rsidRDefault="00A30967" w:rsidP="000D3B07">
      <w:pPr>
        <w:spacing w:before="120" w:after="120"/>
        <w:ind w:firstLine="432"/>
        <w:jc w:val="both"/>
        <w:rPr>
          <w:sz w:val="20"/>
        </w:rPr>
      </w:pPr>
    </w:p>
    <w:p w14:paraId="57BE06F6" w14:textId="77777777" w:rsidR="00A30967" w:rsidRPr="004E4AA7" w:rsidRDefault="00A30967" w:rsidP="000D3B07">
      <w:pPr>
        <w:spacing w:before="120" w:after="120"/>
        <w:ind w:firstLine="432"/>
        <w:jc w:val="both"/>
        <w:rPr>
          <w:sz w:val="20"/>
        </w:rPr>
      </w:pPr>
    </w:p>
    <w:p w14:paraId="301DEE33" w14:textId="77777777" w:rsidR="00A30967" w:rsidRPr="004E4AA7" w:rsidRDefault="00A30967" w:rsidP="000D3B07">
      <w:pPr>
        <w:spacing w:before="120" w:after="120"/>
        <w:ind w:firstLine="432"/>
        <w:jc w:val="both"/>
        <w:rPr>
          <w:sz w:val="20"/>
        </w:rPr>
      </w:pPr>
    </w:p>
    <w:p w14:paraId="0747E469" w14:textId="77777777" w:rsidR="00A30967" w:rsidRPr="004E4AA7" w:rsidRDefault="00A30967" w:rsidP="000D3B07">
      <w:pPr>
        <w:spacing w:before="120" w:after="120"/>
        <w:ind w:firstLine="432"/>
        <w:jc w:val="both"/>
        <w:rPr>
          <w:sz w:val="20"/>
        </w:rPr>
      </w:pPr>
    </w:p>
    <w:p w14:paraId="1448B5F8" w14:textId="77777777" w:rsidR="00A30967" w:rsidRPr="004E4AA7" w:rsidRDefault="00A30967" w:rsidP="000D3B07">
      <w:pPr>
        <w:spacing w:before="120" w:after="120"/>
        <w:ind w:firstLine="432"/>
        <w:jc w:val="both"/>
        <w:rPr>
          <w:sz w:val="20"/>
        </w:rPr>
      </w:pPr>
    </w:p>
    <w:p w14:paraId="47B3384F" w14:textId="77777777" w:rsidR="00E1580B" w:rsidRPr="004E4AA7" w:rsidRDefault="00E1580B" w:rsidP="000D3B07">
      <w:pPr>
        <w:spacing w:before="120" w:after="120"/>
        <w:ind w:firstLine="432"/>
        <w:jc w:val="both"/>
        <w:rPr>
          <w:sz w:val="20"/>
        </w:rPr>
      </w:pPr>
    </w:p>
    <w:p w14:paraId="7FF53710" w14:textId="77777777" w:rsidR="00E1580B" w:rsidRPr="004E4AA7" w:rsidRDefault="00E1580B" w:rsidP="000D3B07">
      <w:pPr>
        <w:spacing w:before="120" w:after="120"/>
        <w:ind w:firstLine="432"/>
        <w:jc w:val="both"/>
        <w:rPr>
          <w:sz w:val="20"/>
        </w:rPr>
      </w:pPr>
    </w:p>
    <w:p w14:paraId="40FE3E72" w14:textId="77777777" w:rsidR="00E1580B" w:rsidRPr="004E4AA7" w:rsidRDefault="00E1580B" w:rsidP="000D3B07">
      <w:pPr>
        <w:spacing w:before="120" w:after="120"/>
        <w:ind w:firstLine="432"/>
        <w:jc w:val="both"/>
        <w:rPr>
          <w:sz w:val="20"/>
        </w:rPr>
      </w:pPr>
    </w:p>
    <w:p w14:paraId="61CFA790" w14:textId="77777777" w:rsidR="00E1580B" w:rsidRPr="004E4AA7" w:rsidRDefault="00E1580B" w:rsidP="000D3B07">
      <w:pPr>
        <w:spacing w:before="120" w:after="120"/>
        <w:ind w:firstLine="432"/>
        <w:jc w:val="both"/>
        <w:rPr>
          <w:sz w:val="20"/>
        </w:rPr>
      </w:pPr>
    </w:p>
    <w:p w14:paraId="4820A91D" w14:textId="77777777" w:rsidR="00E1580B" w:rsidRPr="004E4AA7" w:rsidRDefault="00E1580B" w:rsidP="000D3B07">
      <w:pPr>
        <w:spacing w:before="120" w:after="120"/>
        <w:ind w:firstLine="432"/>
        <w:jc w:val="both"/>
        <w:rPr>
          <w:sz w:val="20"/>
        </w:rPr>
      </w:pPr>
    </w:p>
    <w:p w14:paraId="4479B63F" w14:textId="7EA3107E" w:rsidR="00A30967" w:rsidRPr="00950D17" w:rsidRDefault="00A30967" w:rsidP="00643536">
      <w:pPr>
        <w:spacing w:before="120" w:after="120"/>
        <w:jc w:val="center"/>
        <w:rPr>
          <w:sz w:val="22"/>
          <w:szCs w:val="22"/>
        </w:rPr>
      </w:pPr>
      <w:r w:rsidRPr="00950D17">
        <w:rPr>
          <w:sz w:val="22"/>
          <w:szCs w:val="22"/>
        </w:rPr>
        <w:t xml:space="preserve">Warszawa, </w:t>
      </w:r>
      <w:r w:rsidR="00477164" w:rsidRPr="00950D17">
        <w:rPr>
          <w:sz w:val="22"/>
          <w:szCs w:val="22"/>
        </w:rPr>
        <w:t>maj</w:t>
      </w:r>
      <w:r w:rsidR="004342E0" w:rsidRPr="00950D17">
        <w:rPr>
          <w:sz w:val="22"/>
          <w:szCs w:val="22"/>
        </w:rPr>
        <w:t xml:space="preserve"> 202</w:t>
      </w:r>
      <w:r w:rsidR="00E80B48" w:rsidRPr="00950D17">
        <w:rPr>
          <w:sz w:val="22"/>
          <w:szCs w:val="22"/>
        </w:rPr>
        <w:t>3</w:t>
      </w:r>
      <w:r w:rsidRPr="00950D17">
        <w:rPr>
          <w:sz w:val="22"/>
          <w:szCs w:val="22"/>
        </w:rPr>
        <w:t xml:space="preserve"> r.</w:t>
      </w:r>
    </w:p>
    <w:p w14:paraId="0C516FD9" w14:textId="523EF2E2" w:rsidR="00A30967" w:rsidRPr="004E4AA7" w:rsidRDefault="00A30967" w:rsidP="000D3B07">
      <w:pPr>
        <w:spacing w:before="120" w:after="120"/>
        <w:ind w:firstLine="432"/>
        <w:jc w:val="both"/>
        <w:rPr>
          <w:bCs/>
          <w:sz w:val="20"/>
        </w:rPr>
      </w:pPr>
      <w:r w:rsidRPr="004E4AA7">
        <w:rPr>
          <w:sz w:val="20"/>
        </w:rPr>
        <w:br w:type="page"/>
      </w:r>
    </w:p>
    <w:sdt>
      <w:sdtPr>
        <w:rPr>
          <w:rFonts w:ascii="Times New Roman" w:eastAsia="Times New Roman" w:hAnsi="Times New Roman" w:cs="Times New Roman"/>
          <w:b w:val="0"/>
          <w:bCs w:val="0"/>
          <w:color w:val="auto"/>
          <w:sz w:val="24"/>
          <w:szCs w:val="24"/>
          <w:lang w:eastAsia="pl-PL"/>
        </w:rPr>
        <w:id w:val="-216973768"/>
        <w:docPartObj>
          <w:docPartGallery w:val="Table of Contents"/>
          <w:docPartUnique/>
        </w:docPartObj>
      </w:sdtPr>
      <w:sdtContent>
        <w:p w14:paraId="3B5C5FAD" w14:textId="293F3962" w:rsidR="002E6247" w:rsidRPr="004E4AA7" w:rsidRDefault="002E6247">
          <w:pPr>
            <w:pStyle w:val="Nagwekspisutreci"/>
            <w:rPr>
              <w:rFonts w:ascii="Times New Roman" w:hAnsi="Times New Roman" w:cs="Times New Roman"/>
            </w:rPr>
          </w:pPr>
          <w:r w:rsidRPr="004E4AA7">
            <w:rPr>
              <w:rFonts w:ascii="Times New Roman" w:hAnsi="Times New Roman" w:cs="Times New Roman"/>
            </w:rPr>
            <w:t>Spis treści</w:t>
          </w:r>
        </w:p>
        <w:p w14:paraId="65CC1F68" w14:textId="785A9E18" w:rsidR="00635CB7" w:rsidRDefault="002E6247">
          <w:pPr>
            <w:pStyle w:val="Spistreci2"/>
            <w:tabs>
              <w:tab w:val="right" w:leader="dot" w:pos="9062"/>
            </w:tabs>
            <w:rPr>
              <w:rFonts w:asciiTheme="minorHAnsi" w:eastAsiaTheme="minorEastAsia" w:hAnsiTheme="minorHAnsi" w:cstheme="minorBidi"/>
              <w:noProof/>
              <w:sz w:val="22"/>
              <w:szCs w:val="22"/>
            </w:rPr>
          </w:pPr>
          <w:r w:rsidRPr="004E4AA7">
            <w:fldChar w:fldCharType="begin"/>
          </w:r>
          <w:r w:rsidRPr="004E4AA7">
            <w:instrText xml:space="preserve"> TOC \o "1-3" \h \z \u </w:instrText>
          </w:r>
          <w:r w:rsidRPr="004E4AA7">
            <w:fldChar w:fldCharType="separate"/>
          </w:r>
          <w:hyperlink w:anchor="_Toc134563665" w:history="1">
            <w:r w:rsidR="00635CB7" w:rsidRPr="004F78E6">
              <w:rPr>
                <w:rStyle w:val="Hipercze"/>
                <w:noProof/>
              </w:rPr>
              <w:t>1 Podstawy prawne funkcjonowania systemu teleinformatycznego Krajowy Rejestr Zadłużonych</w:t>
            </w:r>
            <w:r w:rsidR="00635CB7">
              <w:rPr>
                <w:noProof/>
                <w:webHidden/>
              </w:rPr>
              <w:tab/>
            </w:r>
            <w:r w:rsidR="00635CB7">
              <w:rPr>
                <w:noProof/>
                <w:webHidden/>
              </w:rPr>
              <w:fldChar w:fldCharType="begin"/>
            </w:r>
            <w:r w:rsidR="00635CB7">
              <w:rPr>
                <w:noProof/>
                <w:webHidden/>
              </w:rPr>
              <w:instrText xml:space="preserve"> PAGEREF _Toc134563665 \h </w:instrText>
            </w:r>
            <w:r w:rsidR="00635CB7">
              <w:rPr>
                <w:noProof/>
                <w:webHidden/>
              </w:rPr>
            </w:r>
            <w:r w:rsidR="00635CB7">
              <w:rPr>
                <w:noProof/>
                <w:webHidden/>
              </w:rPr>
              <w:fldChar w:fldCharType="separate"/>
            </w:r>
            <w:r w:rsidR="00CD709B">
              <w:rPr>
                <w:noProof/>
                <w:webHidden/>
              </w:rPr>
              <w:t>3</w:t>
            </w:r>
            <w:r w:rsidR="00635CB7">
              <w:rPr>
                <w:noProof/>
                <w:webHidden/>
              </w:rPr>
              <w:fldChar w:fldCharType="end"/>
            </w:r>
          </w:hyperlink>
        </w:p>
        <w:p w14:paraId="62DDCC2B" w14:textId="24731A40" w:rsidR="00635CB7" w:rsidRDefault="00000000">
          <w:pPr>
            <w:pStyle w:val="Spistreci2"/>
            <w:tabs>
              <w:tab w:val="right" w:leader="dot" w:pos="9062"/>
            </w:tabs>
            <w:rPr>
              <w:rFonts w:asciiTheme="minorHAnsi" w:eastAsiaTheme="minorEastAsia" w:hAnsiTheme="minorHAnsi" w:cstheme="minorBidi"/>
              <w:noProof/>
              <w:sz w:val="22"/>
              <w:szCs w:val="22"/>
            </w:rPr>
          </w:pPr>
          <w:hyperlink w:anchor="_Toc134563666" w:history="1">
            <w:r w:rsidR="00635CB7" w:rsidRPr="004F78E6">
              <w:rPr>
                <w:rStyle w:val="Hipercze"/>
                <w:noProof/>
              </w:rPr>
              <w:t>2 Ogólny opis Systemu</w:t>
            </w:r>
            <w:r w:rsidR="00635CB7">
              <w:rPr>
                <w:noProof/>
                <w:webHidden/>
              </w:rPr>
              <w:tab/>
            </w:r>
            <w:r w:rsidR="00635CB7">
              <w:rPr>
                <w:noProof/>
                <w:webHidden/>
              </w:rPr>
              <w:fldChar w:fldCharType="begin"/>
            </w:r>
            <w:r w:rsidR="00635CB7">
              <w:rPr>
                <w:noProof/>
                <w:webHidden/>
              </w:rPr>
              <w:instrText xml:space="preserve"> PAGEREF _Toc134563666 \h </w:instrText>
            </w:r>
            <w:r w:rsidR="00635CB7">
              <w:rPr>
                <w:noProof/>
                <w:webHidden/>
              </w:rPr>
            </w:r>
            <w:r w:rsidR="00635CB7">
              <w:rPr>
                <w:noProof/>
                <w:webHidden/>
              </w:rPr>
              <w:fldChar w:fldCharType="separate"/>
            </w:r>
            <w:r w:rsidR="00CD709B">
              <w:rPr>
                <w:noProof/>
                <w:webHidden/>
              </w:rPr>
              <w:t>3</w:t>
            </w:r>
            <w:r w:rsidR="00635CB7">
              <w:rPr>
                <w:noProof/>
                <w:webHidden/>
              </w:rPr>
              <w:fldChar w:fldCharType="end"/>
            </w:r>
          </w:hyperlink>
        </w:p>
        <w:p w14:paraId="71EE8355" w14:textId="3E7A6081" w:rsidR="00635CB7" w:rsidRPr="00D948DC" w:rsidRDefault="00000000">
          <w:pPr>
            <w:pStyle w:val="Spistreci2"/>
            <w:tabs>
              <w:tab w:val="right" w:leader="dot" w:pos="9062"/>
            </w:tabs>
            <w:rPr>
              <w:rFonts w:asciiTheme="minorHAnsi" w:eastAsiaTheme="minorEastAsia" w:hAnsiTheme="minorHAnsi" w:cstheme="minorBidi"/>
              <w:noProof/>
              <w:sz w:val="22"/>
              <w:szCs w:val="22"/>
            </w:rPr>
          </w:pPr>
          <w:hyperlink w:anchor="_Toc134563667" w:history="1">
            <w:r w:rsidR="00635CB7" w:rsidRPr="00D948DC">
              <w:rPr>
                <w:rStyle w:val="Hipercze"/>
                <w:noProof/>
              </w:rPr>
              <w:t>3 Funkcjonalności Systemu</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_Toc134563667 \h </w:instrText>
            </w:r>
            <w:r w:rsidR="00635CB7" w:rsidRPr="00D948DC">
              <w:rPr>
                <w:noProof/>
                <w:webHidden/>
              </w:rPr>
            </w:r>
            <w:r w:rsidR="00635CB7" w:rsidRPr="00D948DC">
              <w:rPr>
                <w:noProof/>
                <w:webHidden/>
              </w:rPr>
              <w:fldChar w:fldCharType="separate"/>
            </w:r>
            <w:r w:rsidR="00CD709B">
              <w:rPr>
                <w:noProof/>
                <w:webHidden/>
              </w:rPr>
              <w:t>5</w:t>
            </w:r>
            <w:r w:rsidR="00635CB7" w:rsidRPr="00D948DC">
              <w:rPr>
                <w:noProof/>
                <w:webHidden/>
              </w:rPr>
              <w:fldChar w:fldCharType="end"/>
            </w:r>
          </w:hyperlink>
        </w:p>
        <w:p w14:paraId="66313B6E" w14:textId="4EBE9EAA"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68" w:history="1">
            <w:r w:rsidR="00635CB7" w:rsidRPr="00D948DC">
              <w:rPr>
                <w:rStyle w:val="Hipercze"/>
                <w:rFonts w:eastAsia="Calibri"/>
                <w:noProof/>
                <w:lang w:eastAsia="en-US"/>
              </w:rPr>
              <w:t>3.1 Portal Publiczny</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_Toc134563668 \h </w:instrText>
            </w:r>
            <w:r w:rsidR="00635CB7" w:rsidRPr="00D948DC">
              <w:rPr>
                <w:noProof/>
                <w:webHidden/>
              </w:rPr>
            </w:r>
            <w:r w:rsidR="00635CB7" w:rsidRPr="00D948DC">
              <w:rPr>
                <w:noProof/>
                <w:webHidden/>
              </w:rPr>
              <w:fldChar w:fldCharType="separate"/>
            </w:r>
            <w:r w:rsidR="00CD709B">
              <w:rPr>
                <w:noProof/>
                <w:webHidden/>
              </w:rPr>
              <w:t>5</w:t>
            </w:r>
            <w:r w:rsidR="00635CB7" w:rsidRPr="00D948DC">
              <w:rPr>
                <w:noProof/>
                <w:webHidden/>
              </w:rPr>
              <w:fldChar w:fldCharType="end"/>
            </w:r>
          </w:hyperlink>
        </w:p>
        <w:p w14:paraId="09C1C601" w14:textId="1443C1E5"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69" w:history="1">
            <w:r w:rsidR="00635CB7" w:rsidRPr="00D948DC">
              <w:rPr>
                <w:rStyle w:val="Hipercze"/>
                <w:rFonts w:eastAsia="Calibri"/>
                <w:noProof/>
                <w:lang w:eastAsia="en-US"/>
              </w:rPr>
              <w:t>3.2 Portal Użytkowników Zarejestrowanych</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_Toc134563669 \h </w:instrText>
            </w:r>
            <w:r w:rsidR="00635CB7" w:rsidRPr="00D948DC">
              <w:rPr>
                <w:noProof/>
                <w:webHidden/>
              </w:rPr>
            </w:r>
            <w:r w:rsidR="00635CB7" w:rsidRPr="00D948DC">
              <w:rPr>
                <w:noProof/>
                <w:webHidden/>
              </w:rPr>
              <w:fldChar w:fldCharType="separate"/>
            </w:r>
            <w:r w:rsidR="00CD709B">
              <w:rPr>
                <w:noProof/>
                <w:webHidden/>
              </w:rPr>
              <w:t>5</w:t>
            </w:r>
            <w:r w:rsidR="00635CB7" w:rsidRPr="00D948DC">
              <w:rPr>
                <w:noProof/>
                <w:webHidden/>
              </w:rPr>
              <w:fldChar w:fldCharType="end"/>
            </w:r>
          </w:hyperlink>
        </w:p>
        <w:p w14:paraId="69D5BC13" w14:textId="02F585AD"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0" w:history="1">
            <w:r w:rsidR="00635CB7" w:rsidRPr="00D948DC">
              <w:rPr>
                <w:rStyle w:val="Hipercze"/>
                <w:rFonts w:eastAsia="Calibri"/>
                <w:noProof/>
                <w:lang w:eastAsia="en-US"/>
              </w:rPr>
              <w:t>3.3 Portal Sądowy</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_Toc134563670 \h </w:instrText>
            </w:r>
            <w:r w:rsidR="00635CB7" w:rsidRPr="00D948DC">
              <w:rPr>
                <w:noProof/>
                <w:webHidden/>
              </w:rPr>
            </w:r>
            <w:r w:rsidR="00635CB7" w:rsidRPr="00D948DC">
              <w:rPr>
                <w:noProof/>
                <w:webHidden/>
              </w:rPr>
              <w:fldChar w:fldCharType="separate"/>
            </w:r>
            <w:r w:rsidR="00CD709B">
              <w:rPr>
                <w:noProof/>
                <w:webHidden/>
              </w:rPr>
              <w:t>6</w:t>
            </w:r>
            <w:r w:rsidR="00635CB7" w:rsidRPr="00D948DC">
              <w:rPr>
                <w:noProof/>
                <w:webHidden/>
              </w:rPr>
              <w:fldChar w:fldCharType="end"/>
            </w:r>
          </w:hyperlink>
        </w:p>
        <w:p w14:paraId="479D0915" w14:textId="68939A09"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1" w:history="1">
            <w:r w:rsidR="00635CB7" w:rsidRPr="00D948DC">
              <w:rPr>
                <w:rStyle w:val="Hipercze"/>
                <w:rFonts w:eastAsia="Calibri"/>
                <w:noProof/>
                <w:lang w:eastAsia="en-US"/>
              </w:rPr>
              <w:t>3.4 Rejestr dla Organów Administracji Publicznej</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_Toc134563671 \h </w:instrText>
            </w:r>
            <w:r w:rsidR="00635CB7" w:rsidRPr="00D948DC">
              <w:rPr>
                <w:noProof/>
                <w:webHidden/>
              </w:rPr>
            </w:r>
            <w:r w:rsidR="00635CB7" w:rsidRPr="00D948DC">
              <w:rPr>
                <w:noProof/>
                <w:webHidden/>
              </w:rPr>
              <w:fldChar w:fldCharType="separate"/>
            </w:r>
            <w:r w:rsidR="00CD709B">
              <w:rPr>
                <w:noProof/>
                <w:webHidden/>
              </w:rPr>
              <w:t>8</w:t>
            </w:r>
            <w:r w:rsidR="00635CB7" w:rsidRPr="00D948DC">
              <w:rPr>
                <w:noProof/>
                <w:webHidden/>
              </w:rPr>
              <w:fldChar w:fldCharType="end"/>
            </w:r>
          </w:hyperlink>
        </w:p>
        <w:p w14:paraId="6E723ED9" w14:textId="0B723914" w:rsidR="00635CB7" w:rsidRPr="00D948DC" w:rsidRDefault="00000000">
          <w:pPr>
            <w:pStyle w:val="Spistreci2"/>
            <w:tabs>
              <w:tab w:val="right" w:leader="dot" w:pos="9062"/>
            </w:tabs>
            <w:rPr>
              <w:rFonts w:asciiTheme="minorHAnsi" w:eastAsiaTheme="minorEastAsia" w:hAnsiTheme="minorHAnsi" w:cstheme="minorBidi"/>
              <w:noProof/>
              <w:sz w:val="22"/>
              <w:szCs w:val="22"/>
            </w:rPr>
          </w:pPr>
          <w:hyperlink w:anchor="_Toc134563672" w:history="1">
            <w:r w:rsidR="00635CB7" w:rsidRPr="00D948DC">
              <w:rPr>
                <w:rStyle w:val="Hipercze"/>
                <w:noProof/>
              </w:rPr>
              <w:t>4 E-usługi w zakresie Krajowego Rejestru Zadłużonych</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_Toc134563672 \h </w:instrText>
            </w:r>
            <w:r w:rsidR="00635CB7" w:rsidRPr="00D948DC">
              <w:rPr>
                <w:noProof/>
                <w:webHidden/>
              </w:rPr>
            </w:r>
            <w:r w:rsidR="00635CB7" w:rsidRPr="00D948DC">
              <w:rPr>
                <w:noProof/>
                <w:webHidden/>
              </w:rPr>
              <w:fldChar w:fldCharType="separate"/>
            </w:r>
            <w:r w:rsidR="00CD709B">
              <w:rPr>
                <w:noProof/>
                <w:webHidden/>
              </w:rPr>
              <w:t>12</w:t>
            </w:r>
            <w:r w:rsidR="00635CB7" w:rsidRPr="00D948DC">
              <w:rPr>
                <w:noProof/>
                <w:webHidden/>
              </w:rPr>
              <w:fldChar w:fldCharType="end"/>
            </w:r>
          </w:hyperlink>
        </w:p>
        <w:p w14:paraId="2FE1EAF7" w14:textId="12440759" w:rsidR="00635CB7" w:rsidRPr="00D948DC" w:rsidRDefault="00000000">
          <w:pPr>
            <w:pStyle w:val="Spistreci2"/>
            <w:tabs>
              <w:tab w:val="right" w:leader="dot" w:pos="9062"/>
            </w:tabs>
            <w:rPr>
              <w:rFonts w:asciiTheme="minorHAnsi" w:eastAsiaTheme="minorEastAsia" w:hAnsiTheme="minorHAnsi" w:cstheme="minorBidi"/>
              <w:noProof/>
              <w:sz w:val="22"/>
              <w:szCs w:val="22"/>
            </w:rPr>
          </w:pPr>
          <w:hyperlink w:anchor="_Toc134563673" w:history="1">
            <w:r w:rsidR="00635CB7" w:rsidRPr="00D948DC">
              <w:rPr>
                <w:rStyle w:val="Hipercze"/>
                <w:noProof/>
              </w:rPr>
              <w:t>5 Przewidywane kierunki rozwoju funkcjonalności</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_Toc134563673 \h </w:instrText>
            </w:r>
            <w:r w:rsidR="00635CB7" w:rsidRPr="00D948DC">
              <w:rPr>
                <w:noProof/>
                <w:webHidden/>
              </w:rPr>
            </w:r>
            <w:r w:rsidR="00635CB7" w:rsidRPr="00D948DC">
              <w:rPr>
                <w:noProof/>
                <w:webHidden/>
              </w:rPr>
              <w:fldChar w:fldCharType="separate"/>
            </w:r>
            <w:r w:rsidR="00CD709B">
              <w:rPr>
                <w:noProof/>
                <w:webHidden/>
              </w:rPr>
              <w:t>12</w:t>
            </w:r>
            <w:r w:rsidR="00635CB7" w:rsidRPr="00D948DC">
              <w:rPr>
                <w:noProof/>
                <w:webHidden/>
              </w:rPr>
              <w:fldChar w:fldCharType="end"/>
            </w:r>
          </w:hyperlink>
        </w:p>
        <w:p w14:paraId="08FFE15F" w14:textId="1C2B7B39" w:rsidR="00635CB7" w:rsidRPr="00D948DC" w:rsidRDefault="00000000">
          <w:pPr>
            <w:pStyle w:val="Spistreci2"/>
            <w:tabs>
              <w:tab w:val="right" w:leader="dot" w:pos="9062"/>
            </w:tabs>
            <w:rPr>
              <w:rFonts w:asciiTheme="minorHAnsi" w:eastAsiaTheme="minorEastAsia" w:hAnsiTheme="minorHAnsi" w:cstheme="minorBidi"/>
              <w:noProof/>
              <w:sz w:val="22"/>
              <w:szCs w:val="22"/>
            </w:rPr>
          </w:pPr>
          <w:hyperlink w:anchor="_Toc134563674" w:history="1">
            <w:r w:rsidR="00635CB7" w:rsidRPr="00D948DC">
              <w:rPr>
                <w:rStyle w:val="Hipercze"/>
                <w:noProof/>
              </w:rPr>
              <w:t>6 Opis architektury Systemu KRZ</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_Toc134563674 \h </w:instrText>
            </w:r>
            <w:r w:rsidR="00635CB7" w:rsidRPr="00D948DC">
              <w:rPr>
                <w:noProof/>
                <w:webHidden/>
              </w:rPr>
            </w:r>
            <w:r w:rsidR="00635CB7" w:rsidRPr="00D948DC">
              <w:rPr>
                <w:noProof/>
                <w:webHidden/>
              </w:rPr>
              <w:fldChar w:fldCharType="separate"/>
            </w:r>
            <w:r w:rsidR="00CD709B">
              <w:rPr>
                <w:noProof/>
                <w:webHidden/>
              </w:rPr>
              <w:t>13</w:t>
            </w:r>
            <w:r w:rsidR="00635CB7" w:rsidRPr="00D948DC">
              <w:rPr>
                <w:noProof/>
                <w:webHidden/>
              </w:rPr>
              <w:fldChar w:fldCharType="end"/>
            </w:r>
          </w:hyperlink>
        </w:p>
        <w:p w14:paraId="5B75B29B" w14:textId="3C548C9E" w:rsidR="00635CB7" w:rsidRPr="00D948DC" w:rsidRDefault="00D948DC">
          <w:pPr>
            <w:pStyle w:val="Spistreci2"/>
            <w:tabs>
              <w:tab w:val="right" w:leader="dot" w:pos="9062"/>
            </w:tabs>
            <w:rPr>
              <w:rFonts w:asciiTheme="minorHAnsi" w:eastAsiaTheme="minorEastAsia" w:hAnsiTheme="minorHAnsi" w:cstheme="minorBidi"/>
              <w:noProof/>
              <w:sz w:val="22"/>
              <w:szCs w:val="22"/>
            </w:rPr>
          </w:pPr>
          <w:r w:rsidRPr="00D948DC">
            <w:rPr>
              <w:rStyle w:val="Hipercze"/>
              <w:noProof/>
              <w:u w:val="none"/>
            </w:rPr>
            <w:t xml:space="preserve">    </w:t>
          </w:r>
          <w:hyperlink w:anchor="_Toc134563675" w:history="1">
            <w:r w:rsidR="00635CB7" w:rsidRPr="00D948DC">
              <w:rPr>
                <w:rStyle w:val="Hipercze"/>
                <w:noProof/>
              </w:rPr>
              <w:t>6.1  Kontekst architektury korporacyjnej MS</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_Toc134563675 \h </w:instrText>
            </w:r>
            <w:r w:rsidR="00635CB7" w:rsidRPr="00D948DC">
              <w:rPr>
                <w:noProof/>
                <w:webHidden/>
              </w:rPr>
            </w:r>
            <w:r w:rsidR="00635CB7" w:rsidRPr="00D948DC">
              <w:rPr>
                <w:noProof/>
                <w:webHidden/>
              </w:rPr>
              <w:fldChar w:fldCharType="separate"/>
            </w:r>
            <w:r w:rsidR="00CD709B">
              <w:rPr>
                <w:noProof/>
                <w:webHidden/>
              </w:rPr>
              <w:t>13</w:t>
            </w:r>
            <w:r w:rsidR="00635CB7" w:rsidRPr="00D948DC">
              <w:rPr>
                <w:noProof/>
                <w:webHidden/>
              </w:rPr>
              <w:fldChar w:fldCharType="end"/>
            </w:r>
          </w:hyperlink>
        </w:p>
        <w:p w14:paraId="4D51CDE2" w14:textId="2CA3C792"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6" w:history="1">
            <w:r w:rsidR="00635CB7" w:rsidRPr="00D948DC">
              <w:rPr>
                <w:rStyle w:val="Hipercze"/>
                <w:noProof/>
              </w:rPr>
              <w:t>6.2  Model środowiskowy systemu KRZ</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_Toc134563676 \h </w:instrText>
            </w:r>
            <w:r w:rsidR="00635CB7" w:rsidRPr="00D948DC">
              <w:rPr>
                <w:noProof/>
                <w:webHidden/>
              </w:rPr>
            </w:r>
            <w:r w:rsidR="00635CB7" w:rsidRPr="00D948DC">
              <w:rPr>
                <w:noProof/>
                <w:webHidden/>
              </w:rPr>
              <w:fldChar w:fldCharType="separate"/>
            </w:r>
            <w:r w:rsidR="00CD709B">
              <w:rPr>
                <w:noProof/>
                <w:webHidden/>
              </w:rPr>
              <w:t>15</w:t>
            </w:r>
            <w:r w:rsidR="00635CB7" w:rsidRPr="00D948DC">
              <w:rPr>
                <w:noProof/>
                <w:webHidden/>
              </w:rPr>
              <w:fldChar w:fldCharType="end"/>
            </w:r>
          </w:hyperlink>
        </w:p>
        <w:p w14:paraId="56542E51" w14:textId="1B478640"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7" w:history="1">
            <w:r w:rsidR="00635CB7" w:rsidRPr="00D948DC">
              <w:rPr>
                <w:rStyle w:val="Hipercze"/>
                <w:noProof/>
              </w:rPr>
              <w:t>6.3  Główne elementy funkcjonalne architektury systemu</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_Toc134563677 \h </w:instrText>
            </w:r>
            <w:r w:rsidR="00635CB7" w:rsidRPr="00D948DC">
              <w:rPr>
                <w:noProof/>
                <w:webHidden/>
              </w:rPr>
            </w:r>
            <w:r w:rsidR="00635CB7" w:rsidRPr="00D948DC">
              <w:rPr>
                <w:noProof/>
                <w:webHidden/>
              </w:rPr>
              <w:fldChar w:fldCharType="separate"/>
            </w:r>
            <w:r w:rsidR="00CD709B">
              <w:rPr>
                <w:noProof/>
                <w:webHidden/>
              </w:rPr>
              <w:t>15</w:t>
            </w:r>
            <w:r w:rsidR="00635CB7" w:rsidRPr="00D948DC">
              <w:rPr>
                <w:noProof/>
                <w:webHidden/>
              </w:rPr>
              <w:fldChar w:fldCharType="end"/>
            </w:r>
          </w:hyperlink>
        </w:p>
        <w:p w14:paraId="7681C3BF" w14:textId="2C9E4AF1"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8" w:history="1">
            <w:r w:rsidR="00635CB7" w:rsidRPr="00D948DC">
              <w:rPr>
                <w:rStyle w:val="Hipercze"/>
                <w:noProof/>
              </w:rPr>
              <w:t>6.4  Komponenty MS dostarczające usługi istotne dla systemu KRZ</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_Toc134563678 \h </w:instrText>
            </w:r>
            <w:r w:rsidR="00635CB7" w:rsidRPr="00D948DC">
              <w:rPr>
                <w:noProof/>
                <w:webHidden/>
              </w:rPr>
            </w:r>
            <w:r w:rsidR="00635CB7" w:rsidRPr="00D948DC">
              <w:rPr>
                <w:noProof/>
                <w:webHidden/>
              </w:rPr>
              <w:fldChar w:fldCharType="separate"/>
            </w:r>
            <w:r w:rsidR="00CD709B">
              <w:rPr>
                <w:noProof/>
                <w:webHidden/>
              </w:rPr>
              <w:t>18</w:t>
            </w:r>
            <w:r w:rsidR="00635CB7" w:rsidRPr="00D948DC">
              <w:rPr>
                <w:noProof/>
                <w:webHidden/>
              </w:rPr>
              <w:fldChar w:fldCharType="end"/>
            </w:r>
          </w:hyperlink>
        </w:p>
        <w:p w14:paraId="6B3F6CEC" w14:textId="767C3A0D"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79" w:history="1">
            <w:r w:rsidR="00635CB7" w:rsidRPr="00D948DC">
              <w:rPr>
                <w:rStyle w:val="Hipercze"/>
                <w:noProof/>
              </w:rPr>
              <w:t>6.6  Środowiska Systemu</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_Toc134563679 \h </w:instrText>
            </w:r>
            <w:r w:rsidR="00635CB7" w:rsidRPr="00D948DC">
              <w:rPr>
                <w:noProof/>
                <w:webHidden/>
              </w:rPr>
            </w:r>
            <w:r w:rsidR="00635CB7" w:rsidRPr="00D948DC">
              <w:rPr>
                <w:noProof/>
                <w:webHidden/>
              </w:rPr>
              <w:fldChar w:fldCharType="separate"/>
            </w:r>
            <w:r w:rsidR="00CD709B">
              <w:rPr>
                <w:noProof/>
                <w:webHidden/>
              </w:rPr>
              <w:t>19</w:t>
            </w:r>
            <w:r w:rsidR="00635CB7" w:rsidRPr="00D948DC">
              <w:rPr>
                <w:noProof/>
                <w:webHidden/>
              </w:rPr>
              <w:fldChar w:fldCharType="end"/>
            </w:r>
          </w:hyperlink>
        </w:p>
        <w:p w14:paraId="7B42815B" w14:textId="348687EB" w:rsidR="00635CB7" w:rsidRPr="00D948DC" w:rsidRDefault="00000000">
          <w:pPr>
            <w:pStyle w:val="Spistreci3"/>
            <w:tabs>
              <w:tab w:val="right" w:leader="dot" w:pos="9062"/>
            </w:tabs>
            <w:rPr>
              <w:rFonts w:asciiTheme="minorHAnsi" w:eastAsiaTheme="minorEastAsia" w:hAnsiTheme="minorHAnsi" w:cstheme="minorBidi"/>
              <w:noProof/>
              <w:sz w:val="22"/>
              <w:szCs w:val="22"/>
            </w:rPr>
          </w:pPr>
          <w:hyperlink w:anchor="_Toc134563680" w:history="1">
            <w:r w:rsidR="00635CB7" w:rsidRPr="00D948DC">
              <w:rPr>
                <w:rStyle w:val="Hipercze"/>
                <w:noProof/>
              </w:rPr>
              <w:t>6.7  Technologie użyte do budowy Systemu</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_Toc134563680 \h </w:instrText>
            </w:r>
            <w:r w:rsidR="00635CB7" w:rsidRPr="00D948DC">
              <w:rPr>
                <w:noProof/>
                <w:webHidden/>
              </w:rPr>
            </w:r>
            <w:r w:rsidR="00635CB7" w:rsidRPr="00D948DC">
              <w:rPr>
                <w:noProof/>
                <w:webHidden/>
              </w:rPr>
              <w:fldChar w:fldCharType="separate"/>
            </w:r>
            <w:r w:rsidR="00CD709B">
              <w:rPr>
                <w:noProof/>
                <w:webHidden/>
              </w:rPr>
              <w:t>19</w:t>
            </w:r>
            <w:r w:rsidR="00635CB7" w:rsidRPr="00D948DC">
              <w:rPr>
                <w:noProof/>
                <w:webHidden/>
              </w:rPr>
              <w:fldChar w:fldCharType="end"/>
            </w:r>
          </w:hyperlink>
        </w:p>
        <w:p w14:paraId="4169885A" w14:textId="028AE05D" w:rsidR="00635CB7" w:rsidRDefault="00000000">
          <w:pPr>
            <w:pStyle w:val="Spistreci3"/>
            <w:tabs>
              <w:tab w:val="right" w:leader="dot" w:pos="9062"/>
            </w:tabs>
            <w:rPr>
              <w:rFonts w:asciiTheme="minorHAnsi" w:eastAsiaTheme="minorEastAsia" w:hAnsiTheme="minorHAnsi" w:cstheme="minorBidi"/>
              <w:noProof/>
              <w:sz w:val="22"/>
              <w:szCs w:val="22"/>
            </w:rPr>
          </w:pPr>
          <w:hyperlink w:anchor="_Toc134563681" w:history="1">
            <w:r w:rsidR="00635CB7" w:rsidRPr="00D948DC">
              <w:rPr>
                <w:rStyle w:val="Hipercze"/>
                <w:noProof/>
              </w:rPr>
              <w:t>6.8  Komponenty aplikacyjne Systemu</w:t>
            </w:r>
            <w:r w:rsidR="00635CB7" w:rsidRPr="00D948DC">
              <w:rPr>
                <w:noProof/>
                <w:webHidden/>
              </w:rPr>
              <w:tab/>
            </w:r>
            <w:r w:rsidR="00635CB7" w:rsidRPr="00D948DC">
              <w:rPr>
                <w:noProof/>
                <w:webHidden/>
              </w:rPr>
              <w:fldChar w:fldCharType="begin"/>
            </w:r>
            <w:r w:rsidR="00635CB7" w:rsidRPr="00D948DC">
              <w:rPr>
                <w:noProof/>
                <w:webHidden/>
              </w:rPr>
              <w:instrText xml:space="preserve"> PAGEREF _Toc134563681 \h </w:instrText>
            </w:r>
            <w:r w:rsidR="00635CB7" w:rsidRPr="00D948DC">
              <w:rPr>
                <w:noProof/>
                <w:webHidden/>
              </w:rPr>
            </w:r>
            <w:r w:rsidR="00635CB7" w:rsidRPr="00D948DC">
              <w:rPr>
                <w:noProof/>
                <w:webHidden/>
              </w:rPr>
              <w:fldChar w:fldCharType="separate"/>
            </w:r>
            <w:r w:rsidR="00CD709B">
              <w:rPr>
                <w:noProof/>
                <w:webHidden/>
              </w:rPr>
              <w:t>19</w:t>
            </w:r>
            <w:r w:rsidR="00635CB7" w:rsidRPr="00D948DC">
              <w:rPr>
                <w:noProof/>
                <w:webHidden/>
              </w:rPr>
              <w:fldChar w:fldCharType="end"/>
            </w:r>
          </w:hyperlink>
        </w:p>
        <w:p w14:paraId="61CF4BA2" w14:textId="08A0CE20" w:rsidR="002E6247" w:rsidRPr="004E4AA7" w:rsidRDefault="002E6247">
          <w:r w:rsidRPr="004E4AA7">
            <w:rPr>
              <w:b/>
              <w:bCs/>
            </w:rPr>
            <w:fldChar w:fldCharType="end"/>
          </w:r>
        </w:p>
      </w:sdtContent>
    </w:sdt>
    <w:p w14:paraId="4CF86487" w14:textId="77777777" w:rsidR="00A30967" w:rsidRPr="004E4AA7" w:rsidRDefault="00A30967" w:rsidP="000D3B07">
      <w:pPr>
        <w:spacing w:before="120" w:after="120"/>
        <w:ind w:firstLine="432"/>
        <w:jc w:val="both"/>
        <w:rPr>
          <w:sz w:val="20"/>
        </w:rPr>
      </w:pPr>
    </w:p>
    <w:p w14:paraId="3D7AEFEB" w14:textId="353A597F" w:rsidR="00A30967" w:rsidRPr="004E4AA7" w:rsidRDefault="00A30967" w:rsidP="000D3B07">
      <w:pPr>
        <w:spacing w:before="120" w:after="120"/>
        <w:jc w:val="both"/>
        <w:rPr>
          <w:sz w:val="20"/>
        </w:rPr>
      </w:pPr>
    </w:p>
    <w:p w14:paraId="3052E39D" w14:textId="77777777" w:rsidR="00A30967" w:rsidRPr="004E4AA7" w:rsidRDefault="00A30967" w:rsidP="000D3B07">
      <w:pPr>
        <w:spacing w:before="120" w:after="120"/>
        <w:ind w:firstLine="432"/>
        <w:jc w:val="both"/>
        <w:rPr>
          <w:sz w:val="20"/>
        </w:rPr>
      </w:pPr>
    </w:p>
    <w:p w14:paraId="4F335649" w14:textId="6D5D2F0C" w:rsidR="00A30967" w:rsidRPr="004E4AA7" w:rsidRDefault="00A30967" w:rsidP="000D3B07">
      <w:pPr>
        <w:spacing w:before="120" w:after="120"/>
        <w:ind w:left="432" w:hanging="432"/>
        <w:jc w:val="both"/>
        <w:outlineLvl w:val="0"/>
        <w:rPr>
          <w:sz w:val="20"/>
        </w:rPr>
      </w:pPr>
      <w:r w:rsidRPr="004E4AA7">
        <w:rPr>
          <w:sz w:val="20"/>
          <w:szCs w:val="28"/>
        </w:rPr>
        <w:br w:type="page"/>
      </w:r>
      <w:r w:rsidR="00477164" w:rsidRPr="004E4AA7">
        <w:rPr>
          <w:sz w:val="20"/>
        </w:rPr>
        <w:lastRenderedPageBreak/>
        <w:t xml:space="preserve"> </w:t>
      </w:r>
    </w:p>
    <w:p w14:paraId="37E495F8" w14:textId="0EFACA6F" w:rsidR="00A56755" w:rsidRPr="004E4AA7" w:rsidRDefault="00503345" w:rsidP="00503345">
      <w:pPr>
        <w:pStyle w:val="Nagowek3"/>
        <w:rPr>
          <w:rFonts w:ascii="Times New Roman" w:hAnsi="Times New Roman"/>
          <w:szCs w:val="24"/>
        </w:rPr>
      </w:pPr>
      <w:bookmarkStart w:id="0" w:name="_Toc366137422"/>
      <w:bookmarkStart w:id="1" w:name="_Toc366140642"/>
      <w:bookmarkStart w:id="2" w:name="_Toc366140661"/>
      <w:bookmarkStart w:id="3" w:name="_Toc366140829"/>
      <w:bookmarkStart w:id="4" w:name="_Toc366140878"/>
      <w:bookmarkStart w:id="5" w:name="_Toc366140933"/>
      <w:bookmarkStart w:id="6" w:name="_Toc366141137"/>
      <w:bookmarkStart w:id="7" w:name="_Toc366141209"/>
      <w:bookmarkStart w:id="8" w:name="_Toc366574186"/>
      <w:bookmarkStart w:id="9" w:name="_Toc452814299"/>
      <w:bookmarkStart w:id="10" w:name="_Toc452977413"/>
      <w:bookmarkStart w:id="11" w:name="_Toc478045311"/>
      <w:bookmarkStart w:id="12" w:name="_Toc134561905"/>
      <w:bookmarkStart w:id="13" w:name="_Toc134563665"/>
      <w:r w:rsidRPr="004E4AA7">
        <w:rPr>
          <w:rStyle w:val="Wyrnienieintensywne"/>
          <w:rFonts w:ascii="Times New Roman" w:hAnsi="Times New Roman"/>
          <w:i w:val="0"/>
          <w:iCs w:val="0"/>
          <w:color w:val="auto"/>
          <w:szCs w:val="24"/>
        </w:rPr>
        <w:t xml:space="preserve">1 </w:t>
      </w:r>
      <w:r w:rsidR="00A56755" w:rsidRPr="004E4AA7">
        <w:rPr>
          <w:rFonts w:ascii="Times New Roman" w:hAnsi="Times New Roman"/>
          <w:szCs w:val="24"/>
        </w:rPr>
        <w:t>Podstawy prawne</w:t>
      </w:r>
      <w:bookmarkEnd w:id="0"/>
      <w:bookmarkEnd w:id="1"/>
      <w:bookmarkEnd w:id="2"/>
      <w:bookmarkEnd w:id="3"/>
      <w:bookmarkEnd w:id="4"/>
      <w:bookmarkEnd w:id="5"/>
      <w:bookmarkEnd w:id="6"/>
      <w:bookmarkEnd w:id="7"/>
      <w:bookmarkEnd w:id="8"/>
      <w:r w:rsidR="00A56755" w:rsidRPr="004E4AA7">
        <w:rPr>
          <w:rFonts w:ascii="Times New Roman" w:hAnsi="Times New Roman"/>
          <w:szCs w:val="24"/>
        </w:rPr>
        <w:t xml:space="preserve"> funkcjonowania systemu </w:t>
      </w:r>
      <w:bookmarkEnd w:id="9"/>
      <w:bookmarkEnd w:id="10"/>
      <w:bookmarkEnd w:id="11"/>
      <w:r w:rsidR="00436CE5" w:rsidRPr="004E4AA7">
        <w:rPr>
          <w:rFonts w:ascii="Times New Roman" w:hAnsi="Times New Roman"/>
          <w:szCs w:val="24"/>
        </w:rPr>
        <w:t>teleinformatycznego Krajowy Rejestr Zadłużonych</w:t>
      </w:r>
      <w:bookmarkEnd w:id="12"/>
      <w:bookmarkEnd w:id="13"/>
    </w:p>
    <w:p w14:paraId="2AE2DBFF" w14:textId="21694291" w:rsidR="007A2F4A" w:rsidRPr="004E4AA7" w:rsidRDefault="007A2F4A">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Dyrektywa Parlamentu Europejskiego i Rady (UE) 2019/1023 z dnia 20 czerwca 2019 r. w</w:t>
      </w:r>
      <w:r w:rsidR="0035482F" w:rsidRPr="004E4AA7">
        <w:rPr>
          <w:rFonts w:ascii="Times New Roman" w:hAnsi="Times New Roman" w:cs="Times New Roman"/>
          <w:sz w:val="20"/>
          <w:szCs w:val="28"/>
          <w:lang w:eastAsia="pl-PL"/>
        </w:rPr>
        <w:t> </w:t>
      </w:r>
      <w:r w:rsidRPr="004E4AA7">
        <w:rPr>
          <w:rFonts w:ascii="Times New Roman" w:hAnsi="Times New Roman" w:cs="Times New Roman"/>
          <w:sz w:val="20"/>
          <w:szCs w:val="28"/>
          <w:lang w:eastAsia="pl-PL"/>
        </w:rPr>
        <w:t>sprawie ram restrukturyzacji zapobiegawczej, umorzenia długów i zakazów prowadzenia działalności oraz w sprawie środków zwiększających skuteczność postępowań dotyczących restrukturyzacji, niewypłacalności i umorzenia długów, a także zmieniająca dyrektywę (UE) 2017/1132 (dyrektywa o restrukturyzacji i upadłości)</w:t>
      </w:r>
    </w:p>
    <w:p w14:paraId="4ABCC444" w14:textId="44752441" w:rsidR="007A2F4A" w:rsidRPr="004E4AA7" w:rsidRDefault="007A2F4A">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Rozporządzenie Parlamentu Europejskiego i Rady (UE) 2015/848 z dnia 20 maja 2015 r. w</w:t>
      </w:r>
      <w:r w:rsidR="0035482F" w:rsidRPr="004E4AA7">
        <w:rPr>
          <w:rFonts w:ascii="Times New Roman" w:hAnsi="Times New Roman" w:cs="Times New Roman"/>
          <w:sz w:val="20"/>
          <w:szCs w:val="28"/>
          <w:lang w:eastAsia="pl-PL"/>
        </w:rPr>
        <w:t> </w:t>
      </w:r>
      <w:r w:rsidRPr="004E4AA7">
        <w:rPr>
          <w:rFonts w:ascii="Times New Roman" w:hAnsi="Times New Roman" w:cs="Times New Roman"/>
          <w:sz w:val="20"/>
          <w:szCs w:val="28"/>
          <w:lang w:eastAsia="pl-PL"/>
        </w:rPr>
        <w:t>sprawie postępowania upadłościowego</w:t>
      </w:r>
    </w:p>
    <w:p w14:paraId="7A289B89" w14:textId="69739F86"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Ustawa z dnia 6 grudnia 2018 r. o Krajowym Rejestrze Zadłużonych (t.j. Dz.U. z 2021 r. poz. 1909)</w:t>
      </w:r>
    </w:p>
    <w:p w14:paraId="790B882A" w14:textId="0A7B5428"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Ustawa z dnia 28 maja 2021 r. o zmianie ustawy o Krajowym Rejestrze Zadłużonych oraz niektórych innych ustaw</w:t>
      </w:r>
      <w:r w:rsidR="00502CE5" w:rsidRPr="004E4AA7">
        <w:rPr>
          <w:rFonts w:ascii="Times New Roman" w:hAnsi="Times New Roman" w:cs="Times New Roman"/>
          <w:sz w:val="20"/>
          <w:szCs w:val="28"/>
          <w:lang w:eastAsia="pl-PL"/>
        </w:rPr>
        <w:t xml:space="preserve"> (Dz.U. z 2021 r. poz. 1080)</w:t>
      </w:r>
    </w:p>
    <w:p w14:paraId="385830EA" w14:textId="2C511E64" w:rsidR="00502CE5" w:rsidRPr="004E4AA7" w:rsidRDefault="00502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Prawo upadłościowe z dnia 28 lutego 2003 r. (tj. Dz.U. z 2022 r. poz. 1520)</w:t>
      </w:r>
    </w:p>
    <w:p w14:paraId="3F07BC78" w14:textId="7C0FD956" w:rsidR="00502CE5" w:rsidRPr="004E4AA7" w:rsidRDefault="00502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Prawo restrukturyzacyjne z dnia 15 maja 2015 r. (t.j. Dz.U. z 2022 r. poz. 2309)</w:t>
      </w:r>
    </w:p>
    <w:p w14:paraId="0711C291" w14:textId="798FB7C9" w:rsidR="0015113E" w:rsidRPr="004E4AA7" w:rsidRDefault="0015113E">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Prawo o ustroju sądów powszechnych z dnia 27 lipca 2001 r. (t.j. Dz.U. z 2023 r. poz. 217)</w:t>
      </w:r>
    </w:p>
    <w:p w14:paraId="512FA60C" w14:textId="3BBD91B8"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Ministra Sprawiedliwości w sprawie sposobu zamieszczania oraz przetwarzania danych w Krajowym Rejestrze Zadłużonych </w:t>
      </w:r>
      <w:r w:rsidR="00502CE5" w:rsidRPr="004E4AA7">
        <w:rPr>
          <w:rFonts w:ascii="Times New Roman" w:hAnsi="Times New Roman" w:cs="Times New Roman"/>
          <w:sz w:val="20"/>
          <w:szCs w:val="28"/>
          <w:lang w:eastAsia="pl-PL"/>
        </w:rPr>
        <w:t>z dnia 22 listopada 2021 r. (Dz.U. z 2021 r. poz. 2173)</w:t>
      </w:r>
    </w:p>
    <w:p w14:paraId="62C59167" w14:textId="722B1F25"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Rozporządzenie Ministra Sprawiedliwości w sprawie trybu i sposobu dokonywania doręczeń elektronicznych w postępowaniach upadłościowych</w:t>
      </w:r>
      <w:r w:rsidR="005319DF" w:rsidRPr="004E4AA7">
        <w:rPr>
          <w:rFonts w:ascii="Times New Roman" w:hAnsi="Times New Roman" w:cs="Times New Roman"/>
          <w:sz w:val="20"/>
          <w:szCs w:val="28"/>
          <w:lang w:eastAsia="pl-PL"/>
        </w:rPr>
        <w:t xml:space="preserve"> z dnia 16 września 2021 r. (Dz.U. z 2021 r. poz. 1954)</w:t>
      </w:r>
      <w:r w:rsidRPr="004E4AA7">
        <w:rPr>
          <w:rFonts w:ascii="Times New Roman" w:hAnsi="Times New Roman" w:cs="Times New Roman"/>
          <w:sz w:val="20"/>
          <w:szCs w:val="28"/>
          <w:lang w:eastAsia="pl-PL"/>
        </w:rPr>
        <w:t xml:space="preserve"> </w:t>
      </w:r>
    </w:p>
    <w:p w14:paraId="434D2662" w14:textId="286D863E"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Ministra Sprawiedliwości w sprawie trybu i sposobu dokonywania doręczeń elektronicznych w postępowaniach restrukturyzacyjnych </w:t>
      </w:r>
      <w:r w:rsidR="005319DF" w:rsidRPr="004E4AA7">
        <w:rPr>
          <w:rFonts w:ascii="Times New Roman" w:hAnsi="Times New Roman" w:cs="Times New Roman"/>
          <w:sz w:val="20"/>
          <w:szCs w:val="28"/>
          <w:lang w:eastAsia="pl-PL"/>
        </w:rPr>
        <w:t>z dnia 16 września 2021 r. (Dz.U. z 2021 r. poz. 1838)</w:t>
      </w:r>
    </w:p>
    <w:p w14:paraId="5EC76A6D" w14:textId="4725EDCA" w:rsidR="00211784"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Rozporządzenie Ministra Sprawiedliwości w sprawie sposobu i trybu prowadzenia akt do zgłoszeń wierzytelności oraz zbioru dokumentów</w:t>
      </w:r>
      <w:r w:rsidR="00211784" w:rsidRPr="004E4AA7">
        <w:rPr>
          <w:rFonts w:ascii="Times New Roman" w:hAnsi="Times New Roman" w:cs="Times New Roman"/>
          <w:sz w:val="20"/>
          <w:szCs w:val="28"/>
          <w:lang w:eastAsia="pl-PL"/>
        </w:rPr>
        <w:t xml:space="preserve">, a także udostępniania tych akt oraz zbioru dokumentów </w:t>
      </w:r>
      <w:r w:rsidR="00211784" w:rsidRPr="004E4AA7">
        <w:rPr>
          <w:rFonts w:ascii="Times New Roman" w:hAnsi="Times New Roman" w:cs="Times New Roman"/>
          <w:sz w:val="20"/>
          <w:szCs w:val="28"/>
        </w:rPr>
        <w:t>z dnia 18 listopada 2021 r. (Dz.U. z 2021 r. poz. 2170)</w:t>
      </w:r>
    </w:p>
    <w:p w14:paraId="451EF85D" w14:textId="52A00F9D"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Rozporządzenie Ministra Sprawiedliwości w sprawie sposobu i trybu prowadzenia akt oraz zbioru dokumentów</w:t>
      </w:r>
      <w:r w:rsidR="00F162C4" w:rsidRPr="004E4AA7">
        <w:rPr>
          <w:rFonts w:ascii="Times New Roman" w:hAnsi="Times New Roman" w:cs="Times New Roman"/>
          <w:sz w:val="20"/>
          <w:szCs w:val="28"/>
          <w:lang w:eastAsia="pl-PL"/>
        </w:rPr>
        <w:t xml:space="preserve">, a także udostępnienia tych akt oraz zbioru dokumentów w postępowaniu </w:t>
      </w:r>
      <w:r w:rsidRPr="004E4AA7">
        <w:rPr>
          <w:rFonts w:ascii="Times New Roman" w:hAnsi="Times New Roman" w:cs="Times New Roman"/>
          <w:sz w:val="20"/>
          <w:szCs w:val="28"/>
          <w:lang w:eastAsia="pl-PL"/>
        </w:rPr>
        <w:t>o zawarcie układu</w:t>
      </w:r>
      <w:r w:rsidR="00F162C4" w:rsidRPr="004E4AA7">
        <w:rPr>
          <w:rFonts w:ascii="Times New Roman" w:hAnsi="Times New Roman" w:cs="Times New Roman"/>
          <w:sz w:val="20"/>
          <w:szCs w:val="28"/>
          <w:lang w:eastAsia="pl-PL"/>
        </w:rPr>
        <w:t xml:space="preserve"> na zgromadzeniu wierzycieli przez osobę fizyczną nieprowadzącą działalności gospodarczej z dnia 13 października 2021 r. (Dz.U. z 2021 r. poz. 2032)</w:t>
      </w:r>
    </w:p>
    <w:p w14:paraId="1CD29795" w14:textId="38F0DE9B"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Ministra Sprawiedliwości w sprawie sposobu i trybu prowadzenia oraz udostępniania akt oraz zbioru dokumentów w postępowaniu o zawarcie układu na zgromadzeniu wierzycieli przez osobę fizyczną nieprowadzącą działalności gospodarczej </w:t>
      </w:r>
      <w:r w:rsidR="00AF7064" w:rsidRPr="004E4AA7">
        <w:rPr>
          <w:rFonts w:ascii="Times New Roman" w:hAnsi="Times New Roman" w:cs="Times New Roman"/>
          <w:sz w:val="20"/>
          <w:szCs w:val="28"/>
          <w:lang w:eastAsia="pl-PL"/>
        </w:rPr>
        <w:t>z dnia 13 października 2021 r. (Dz.U. z 2021 r. poz. 2032)</w:t>
      </w:r>
    </w:p>
    <w:p w14:paraId="6D174D59" w14:textId="7969FFE8"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w:t>
      </w:r>
      <w:r w:rsidR="00211784" w:rsidRPr="004E4AA7">
        <w:rPr>
          <w:rFonts w:ascii="Times New Roman" w:hAnsi="Times New Roman" w:cs="Times New Roman"/>
          <w:sz w:val="20"/>
          <w:szCs w:val="28"/>
          <w:lang w:eastAsia="pl-PL"/>
        </w:rPr>
        <w:t xml:space="preserve">Ministra Sprawiedliwości </w:t>
      </w:r>
      <w:r w:rsidRPr="004E4AA7">
        <w:rPr>
          <w:rFonts w:ascii="Times New Roman" w:hAnsi="Times New Roman" w:cs="Times New Roman"/>
          <w:sz w:val="20"/>
          <w:szCs w:val="28"/>
          <w:lang w:eastAsia="pl-PL"/>
        </w:rPr>
        <w:t xml:space="preserve">w sprawie sposobu i trybu prowadzenia oraz udostępniania akt oraz zbioru dokumentów w postępowaniu upadłościowym wobec osób fizycznych nieprowadzących działalności gospodarczej </w:t>
      </w:r>
      <w:r w:rsidR="00AF7064" w:rsidRPr="004E4AA7">
        <w:rPr>
          <w:rFonts w:ascii="Times New Roman" w:hAnsi="Times New Roman" w:cs="Times New Roman"/>
          <w:sz w:val="20"/>
          <w:szCs w:val="28"/>
          <w:lang w:eastAsia="pl-PL"/>
        </w:rPr>
        <w:t>z dnia 15 listopada 2021 r. (Dz.U. z 2021 r. poz. 2152)</w:t>
      </w:r>
    </w:p>
    <w:p w14:paraId="2B3EE512" w14:textId="728B4EE8"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w:t>
      </w:r>
      <w:r w:rsidR="00211784" w:rsidRPr="004E4AA7">
        <w:rPr>
          <w:rFonts w:ascii="Times New Roman" w:hAnsi="Times New Roman" w:cs="Times New Roman"/>
          <w:sz w:val="20"/>
          <w:szCs w:val="28"/>
          <w:lang w:eastAsia="pl-PL"/>
        </w:rPr>
        <w:t xml:space="preserve">Ministra Sprawiedliwości </w:t>
      </w:r>
      <w:r w:rsidRPr="004E4AA7">
        <w:rPr>
          <w:rFonts w:ascii="Times New Roman" w:hAnsi="Times New Roman" w:cs="Times New Roman"/>
          <w:sz w:val="20"/>
          <w:szCs w:val="28"/>
          <w:lang w:eastAsia="pl-PL"/>
        </w:rPr>
        <w:t xml:space="preserve">w sprawie sposobu wnoszenia pism procesowych i składania dokumentów w postępowaniu upadłościowym za pośrednictwem systemu teleinformatycznego obsługującego postępowanie sądowe oraz w biurze podawczym sądu rejonowego </w:t>
      </w:r>
      <w:r w:rsidR="00AF7064" w:rsidRPr="004E4AA7">
        <w:rPr>
          <w:rFonts w:ascii="Times New Roman" w:hAnsi="Times New Roman" w:cs="Times New Roman"/>
          <w:sz w:val="20"/>
          <w:szCs w:val="28"/>
          <w:lang w:eastAsia="pl-PL"/>
        </w:rPr>
        <w:t>z dnia 16 września 2021 r. (Dz.U. z 2021 r. poz. 1839)</w:t>
      </w:r>
    </w:p>
    <w:p w14:paraId="7C35ACD5" w14:textId="655EFC36" w:rsidR="00436CE5" w:rsidRPr="004E4AA7" w:rsidRDefault="00436CE5">
      <w:pPr>
        <w:pStyle w:val="Akapitzlist"/>
        <w:numPr>
          <w:ilvl w:val="0"/>
          <w:numId w:val="37"/>
        </w:numPr>
        <w:spacing w:before="120" w:after="120" w:line="240" w:lineRule="auto"/>
        <w:contextualSpacing/>
        <w:jc w:val="both"/>
        <w:rPr>
          <w:rFonts w:ascii="Times New Roman" w:hAnsi="Times New Roman" w:cs="Times New Roman"/>
          <w:sz w:val="20"/>
          <w:szCs w:val="28"/>
          <w:lang w:eastAsia="pl-PL"/>
        </w:rPr>
      </w:pPr>
      <w:r w:rsidRPr="004E4AA7">
        <w:rPr>
          <w:rFonts w:ascii="Times New Roman" w:hAnsi="Times New Roman" w:cs="Times New Roman"/>
          <w:sz w:val="20"/>
          <w:szCs w:val="28"/>
          <w:lang w:eastAsia="pl-PL"/>
        </w:rPr>
        <w:t xml:space="preserve">Rozporządzenie </w:t>
      </w:r>
      <w:r w:rsidR="00211784" w:rsidRPr="004E4AA7">
        <w:rPr>
          <w:rFonts w:ascii="Times New Roman" w:hAnsi="Times New Roman" w:cs="Times New Roman"/>
          <w:sz w:val="20"/>
          <w:szCs w:val="28"/>
          <w:lang w:eastAsia="pl-PL"/>
        </w:rPr>
        <w:t xml:space="preserve">Ministra Sprawiedliwości </w:t>
      </w:r>
      <w:r w:rsidRPr="004E4AA7">
        <w:rPr>
          <w:rFonts w:ascii="Times New Roman" w:hAnsi="Times New Roman" w:cs="Times New Roman"/>
          <w:sz w:val="20"/>
          <w:szCs w:val="28"/>
          <w:lang w:eastAsia="pl-PL"/>
        </w:rPr>
        <w:t xml:space="preserve">w sprawie sposobu wnoszenia pism procesowych i składania dokumentów w postępowaniu restrukturyzacyjnym za pośrednictwem systemu teleinformatycznego obsługującego postępowanie sądowe oraz w biurze podawczym sądu rejonowego </w:t>
      </w:r>
      <w:r w:rsidR="008615E2" w:rsidRPr="004E4AA7">
        <w:rPr>
          <w:rFonts w:ascii="Times New Roman" w:hAnsi="Times New Roman" w:cs="Times New Roman"/>
          <w:sz w:val="20"/>
          <w:szCs w:val="28"/>
          <w:lang w:eastAsia="pl-PL"/>
        </w:rPr>
        <w:t>z dnia 16 września 2021 r. (Dz.U. z 2021 r. poz. 1822)</w:t>
      </w:r>
    </w:p>
    <w:p w14:paraId="33B5AFEC" w14:textId="07FE8D0C" w:rsidR="00A30967" w:rsidRPr="004E4AA7" w:rsidRDefault="00436CE5">
      <w:pPr>
        <w:pStyle w:val="Akapitzlist"/>
        <w:numPr>
          <w:ilvl w:val="0"/>
          <w:numId w:val="37"/>
        </w:numPr>
        <w:spacing w:before="120" w:after="120" w:line="240" w:lineRule="auto"/>
        <w:contextualSpacing/>
        <w:jc w:val="both"/>
        <w:rPr>
          <w:rFonts w:ascii="Times New Roman" w:eastAsia="Calibri" w:hAnsi="Times New Roman" w:cs="Times New Roman"/>
          <w:sz w:val="20"/>
        </w:rPr>
      </w:pPr>
      <w:r w:rsidRPr="004E4AA7">
        <w:rPr>
          <w:rFonts w:ascii="Times New Roman" w:hAnsi="Times New Roman" w:cs="Times New Roman"/>
          <w:sz w:val="20"/>
          <w:szCs w:val="28"/>
          <w:lang w:eastAsia="pl-PL"/>
        </w:rPr>
        <w:t xml:space="preserve">Rozporządzenie </w:t>
      </w:r>
      <w:r w:rsidR="00211784" w:rsidRPr="004E4AA7">
        <w:rPr>
          <w:rFonts w:ascii="Times New Roman" w:hAnsi="Times New Roman" w:cs="Times New Roman"/>
          <w:sz w:val="20"/>
          <w:szCs w:val="28"/>
          <w:lang w:eastAsia="pl-PL"/>
        </w:rPr>
        <w:t xml:space="preserve">Ministra Sprawiedliwości </w:t>
      </w:r>
      <w:r w:rsidRPr="004E4AA7">
        <w:rPr>
          <w:rFonts w:ascii="Times New Roman" w:hAnsi="Times New Roman" w:cs="Times New Roman"/>
          <w:sz w:val="20"/>
          <w:szCs w:val="28"/>
          <w:lang w:eastAsia="pl-PL"/>
        </w:rPr>
        <w:t xml:space="preserve">w sprawie konta w systemie teleinformatycznym obsługującym postępowanie sądowe </w:t>
      </w:r>
      <w:r w:rsidR="008615E2" w:rsidRPr="004E4AA7">
        <w:rPr>
          <w:rFonts w:ascii="Times New Roman" w:hAnsi="Times New Roman" w:cs="Times New Roman"/>
          <w:sz w:val="20"/>
          <w:szCs w:val="28"/>
          <w:lang w:eastAsia="pl-PL"/>
        </w:rPr>
        <w:t>z dnia 30 listopada 2021 r. (Dz.U. z 2021 r. poz. 2204)</w:t>
      </w:r>
    </w:p>
    <w:p w14:paraId="0EAF84AD" w14:textId="151BD346" w:rsidR="00211784" w:rsidRPr="004E4AA7" w:rsidRDefault="00211784">
      <w:pPr>
        <w:pStyle w:val="Akapitzlist"/>
        <w:numPr>
          <w:ilvl w:val="0"/>
          <w:numId w:val="37"/>
        </w:numPr>
        <w:spacing w:before="120" w:after="120" w:line="240" w:lineRule="auto"/>
        <w:contextualSpacing/>
        <w:jc w:val="both"/>
        <w:rPr>
          <w:rFonts w:ascii="Times New Roman" w:eastAsia="Calibri" w:hAnsi="Times New Roman" w:cs="Times New Roman"/>
          <w:sz w:val="20"/>
        </w:rPr>
      </w:pPr>
      <w:r w:rsidRPr="004E4AA7">
        <w:rPr>
          <w:rFonts w:ascii="Times New Roman" w:hAnsi="Times New Roman" w:cs="Times New Roman"/>
          <w:sz w:val="20"/>
          <w:szCs w:val="28"/>
          <w:lang w:eastAsia="pl-PL"/>
        </w:rPr>
        <w:t xml:space="preserve">Rozporządzenie Ministra Sprawiedliwości </w:t>
      </w:r>
      <w:r w:rsidRPr="004E4AA7">
        <w:rPr>
          <w:rFonts w:ascii="Times New Roman" w:eastAsia="Calibri" w:hAnsi="Times New Roman" w:cs="Times New Roman"/>
          <w:sz w:val="20"/>
        </w:rPr>
        <w:t>Regulamin Urzędowania Sądów Powszechnych z dnia 18 czerwca 2019 r. (t.j. Dz.U. z 2022 r. poz. 2514)</w:t>
      </w:r>
    </w:p>
    <w:p w14:paraId="6784E2FE" w14:textId="331E6434" w:rsidR="00211784" w:rsidRPr="004E4AA7" w:rsidRDefault="00211784">
      <w:pPr>
        <w:pStyle w:val="Akapitzlist"/>
        <w:numPr>
          <w:ilvl w:val="0"/>
          <w:numId w:val="37"/>
        </w:numPr>
        <w:spacing w:before="120" w:after="120" w:line="240" w:lineRule="auto"/>
        <w:contextualSpacing/>
        <w:jc w:val="both"/>
        <w:rPr>
          <w:rFonts w:ascii="Times New Roman" w:eastAsia="Calibri" w:hAnsi="Times New Roman" w:cs="Times New Roman"/>
          <w:sz w:val="20"/>
        </w:rPr>
      </w:pPr>
      <w:r w:rsidRPr="004E4AA7">
        <w:rPr>
          <w:rFonts w:ascii="Times New Roman" w:eastAsia="Calibri" w:hAnsi="Times New Roman" w:cs="Times New Roman"/>
          <w:sz w:val="20"/>
        </w:rPr>
        <w:t>Ustawa o zapewnianiu dostępności osobom ze szczególnymi potrzebami z dnia 19 lipca 2019 r.</w:t>
      </w:r>
      <w:r w:rsidR="007A2F4A" w:rsidRPr="004E4AA7">
        <w:rPr>
          <w:rFonts w:ascii="Times New Roman" w:eastAsia="Calibri" w:hAnsi="Times New Roman" w:cs="Times New Roman"/>
          <w:sz w:val="20"/>
        </w:rPr>
        <w:t xml:space="preserve"> (</w:t>
      </w:r>
      <w:r w:rsidRPr="004E4AA7">
        <w:rPr>
          <w:rFonts w:ascii="Times New Roman" w:eastAsia="Calibri" w:hAnsi="Times New Roman" w:cs="Times New Roman"/>
          <w:sz w:val="20"/>
        </w:rPr>
        <w:t>t.j. Dz.U. z 2022 r. poz. 2240</w:t>
      </w:r>
      <w:r w:rsidR="007A2F4A" w:rsidRPr="004E4AA7">
        <w:rPr>
          <w:rFonts w:ascii="Times New Roman" w:eastAsia="Calibri" w:hAnsi="Times New Roman" w:cs="Times New Roman"/>
          <w:sz w:val="20"/>
        </w:rPr>
        <w:t>)</w:t>
      </w:r>
    </w:p>
    <w:p w14:paraId="2FF6E52D" w14:textId="6CD023BB" w:rsidR="006154BC" w:rsidRPr="004E4AA7" w:rsidRDefault="006154BC">
      <w:pPr>
        <w:pStyle w:val="Akapitzlist"/>
        <w:numPr>
          <w:ilvl w:val="0"/>
          <w:numId w:val="37"/>
        </w:numPr>
        <w:spacing w:before="120" w:after="120" w:line="240" w:lineRule="auto"/>
        <w:contextualSpacing/>
        <w:jc w:val="both"/>
        <w:rPr>
          <w:rFonts w:ascii="Times New Roman" w:eastAsia="Calibri" w:hAnsi="Times New Roman" w:cs="Times New Roman"/>
          <w:sz w:val="20"/>
        </w:rPr>
      </w:pPr>
      <w:r w:rsidRPr="004E4AA7">
        <w:rPr>
          <w:rFonts w:ascii="Times New Roman" w:eastAsia="Calibri" w:hAnsi="Times New Roman" w:cs="Times New Roman"/>
          <w:sz w:val="20"/>
        </w:rPr>
        <w:t>Ustawa o licencji doradcy restrukturyzacyjnego z dnia 15 czerwca 2007 r. (t.j. Dz.U. z 2022 r. poz. 1007)</w:t>
      </w:r>
      <w:r w:rsidR="00477164" w:rsidRPr="004E4AA7">
        <w:rPr>
          <w:rFonts w:ascii="Times New Roman" w:eastAsia="Calibri" w:hAnsi="Times New Roman" w:cs="Times New Roman"/>
          <w:sz w:val="20"/>
        </w:rPr>
        <w:t>.</w:t>
      </w:r>
    </w:p>
    <w:p w14:paraId="5C2AC8B3" w14:textId="24431BFA" w:rsidR="00A30967" w:rsidRPr="004E4AA7" w:rsidRDefault="00503345" w:rsidP="00503345">
      <w:pPr>
        <w:pStyle w:val="Nagowek3"/>
        <w:rPr>
          <w:rStyle w:val="Wyrnienieintensywne"/>
          <w:rFonts w:ascii="Times New Roman" w:hAnsi="Times New Roman"/>
          <w:i w:val="0"/>
          <w:iCs w:val="0"/>
          <w:color w:val="auto"/>
        </w:rPr>
      </w:pPr>
      <w:bookmarkStart w:id="14" w:name="_Toc366137423"/>
      <w:bookmarkStart w:id="15" w:name="_Toc366140643"/>
      <w:bookmarkStart w:id="16" w:name="_Toc366140662"/>
      <w:bookmarkStart w:id="17" w:name="_Toc366140830"/>
      <w:bookmarkStart w:id="18" w:name="_Toc366140879"/>
      <w:bookmarkStart w:id="19" w:name="_Toc366140934"/>
      <w:bookmarkStart w:id="20" w:name="_Toc366141138"/>
      <w:bookmarkStart w:id="21" w:name="_Toc366141210"/>
      <w:bookmarkStart w:id="22" w:name="_Toc366574187"/>
      <w:bookmarkStart w:id="23" w:name="_Toc452814300"/>
      <w:bookmarkStart w:id="24" w:name="_Toc452977414"/>
      <w:bookmarkStart w:id="25" w:name="_Toc478045312"/>
      <w:bookmarkStart w:id="26" w:name="_Toc134561906"/>
      <w:bookmarkStart w:id="27" w:name="_Toc134563666"/>
      <w:r w:rsidRPr="004E4AA7">
        <w:rPr>
          <w:rStyle w:val="Wyrnienieintensywne"/>
          <w:rFonts w:ascii="Times New Roman" w:hAnsi="Times New Roman"/>
          <w:i w:val="0"/>
          <w:iCs w:val="0"/>
          <w:color w:val="auto"/>
        </w:rPr>
        <w:t xml:space="preserve">2 </w:t>
      </w:r>
      <w:r w:rsidR="00A30967" w:rsidRPr="004E4AA7">
        <w:rPr>
          <w:rStyle w:val="Wyrnienieintensywne"/>
          <w:rFonts w:ascii="Times New Roman" w:hAnsi="Times New Roman"/>
          <w:i w:val="0"/>
          <w:iCs w:val="0"/>
          <w:color w:val="auto"/>
        </w:rPr>
        <w:t>Ogólny opis Systemu</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609135A" w14:textId="32D3B400" w:rsidR="00DC4C78" w:rsidRPr="004E4AA7" w:rsidRDefault="0015113E" w:rsidP="000D3B07">
      <w:pPr>
        <w:spacing w:before="120" w:after="120"/>
        <w:contextualSpacing/>
        <w:jc w:val="both"/>
        <w:rPr>
          <w:sz w:val="20"/>
          <w:szCs w:val="20"/>
        </w:rPr>
      </w:pPr>
      <w:r w:rsidRPr="004E4AA7">
        <w:rPr>
          <w:sz w:val="20"/>
          <w:szCs w:val="20"/>
        </w:rPr>
        <w:t>System teleinformatyczny Krajowy Rejestr Zadłużonych obsługuje postępowanie sądowe w zakresie postępowań realizowanych na podstawie Prawa upadłościowego i Prawa restrukturyzacyjnego. W</w:t>
      </w:r>
      <w:r w:rsidR="0035482F" w:rsidRPr="004E4AA7">
        <w:rPr>
          <w:sz w:val="20"/>
          <w:szCs w:val="20"/>
        </w:rPr>
        <w:t> </w:t>
      </w:r>
      <w:r w:rsidRPr="004E4AA7">
        <w:rPr>
          <w:sz w:val="20"/>
          <w:szCs w:val="20"/>
        </w:rPr>
        <w:t xml:space="preserve">systemie prowadzony jest </w:t>
      </w:r>
      <w:r w:rsidRPr="004E4AA7">
        <w:rPr>
          <w:sz w:val="20"/>
          <w:szCs w:val="20"/>
        </w:rPr>
        <w:lastRenderedPageBreak/>
        <w:t>Krajowy Rejestr Zadłużonych. System został uruchomiony z datą wejścia w życie Ustaw</w:t>
      </w:r>
      <w:r w:rsidR="0035482F" w:rsidRPr="004E4AA7">
        <w:rPr>
          <w:sz w:val="20"/>
          <w:szCs w:val="20"/>
        </w:rPr>
        <w:t>y</w:t>
      </w:r>
      <w:r w:rsidRPr="004E4AA7">
        <w:rPr>
          <w:sz w:val="20"/>
          <w:szCs w:val="20"/>
        </w:rPr>
        <w:t xml:space="preserve"> z dnia 6 grudnia 2018 r. o Krajowym Rejestrze Zadłużonych (t.j. Dz.U. z 2021 r. poz. 1909), tj. 1 grudnia 2021 r.</w:t>
      </w:r>
      <w:r w:rsidR="00DC4C78" w:rsidRPr="004E4AA7">
        <w:rPr>
          <w:sz w:val="20"/>
          <w:szCs w:val="20"/>
        </w:rPr>
        <w:t xml:space="preserve"> </w:t>
      </w:r>
      <w:r w:rsidR="00944B0A" w:rsidRPr="004E4AA7">
        <w:rPr>
          <w:sz w:val="20"/>
          <w:szCs w:val="20"/>
        </w:rPr>
        <w:t>W systemie teleinformatycznym KRZ prowadzona jest również lista osób posiadających licencję doradcy restrukturyzacyjnego.</w:t>
      </w:r>
    </w:p>
    <w:p w14:paraId="6506EEB4" w14:textId="560050A6" w:rsidR="00DC4C78" w:rsidRPr="004E4AA7" w:rsidRDefault="00DC4C78" w:rsidP="000D3B07">
      <w:pPr>
        <w:spacing w:before="120" w:after="120"/>
        <w:contextualSpacing/>
        <w:jc w:val="both"/>
        <w:rPr>
          <w:sz w:val="20"/>
        </w:rPr>
      </w:pPr>
    </w:p>
    <w:p w14:paraId="6522C14D" w14:textId="39B23FD5" w:rsidR="00DC4C78" w:rsidRPr="004E4AA7" w:rsidRDefault="00DC4C78" w:rsidP="000D3B07">
      <w:pPr>
        <w:spacing w:before="120" w:after="120"/>
        <w:contextualSpacing/>
        <w:jc w:val="both"/>
        <w:rPr>
          <w:sz w:val="20"/>
        </w:rPr>
      </w:pPr>
      <w:r w:rsidRPr="004E4AA7">
        <w:rPr>
          <w:sz w:val="20"/>
        </w:rPr>
        <w:t>Sy</w:t>
      </w:r>
      <w:r w:rsidR="00952C1C" w:rsidRPr="004E4AA7">
        <w:rPr>
          <w:sz w:val="20"/>
        </w:rPr>
        <w:t>stem teleinformatyczny Krajowy Rejestr Zadłużonych został zbudowany jako system centralny. Użytkownicy wewnętrzni (pracownicy i orzecznicy sądów powszechnych) korzystają z systemu</w:t>
      </w:r>
      <w:r w:rsidR="008D1D6D" w:rsidRPr="004E4AA7">
        <w:rPr>
          <w:sz w:val="20"/>
        </w:rPr>
        <w:t xml:space="preserve"> Portalu sądowego, logując się za pomocą konta w AD, po uzyskaniu stosownych uprawnień. Pozostali użytkownicy uzyskują dostęp </w:t>
      </w:r>
      <w:r w:rsidR="00B36075" w:rsidRPr="004E4AA7">
        <w:rPr>
          <w:sz w:val="20"/>
        </w:rPr>
        <w:t>d</w:t>
      </w:r>
      <w:r w:rsidR="008D1D6D" w:rsidRPr="004E4AA7">
        <w:rPr>
          <w:sz w:val="20"/>
        </w:rPr>
        <w:t xml:space="preserve">o systemu KRZ za pośrednictwem konta </w:t>
      </w:r>
      <w:r w:rsidR="006154BC" w:rsidRPr="004E4AA7">
        <w:rPr>
          <w:sz w:val="20"/>
        </w:rPr>
        <w:t xml:space="preserve">założonego </w:t>
      </w:r>
      <w:r w:rsidR="008D1D6D" w:rsidRPr="004E4AA7">
        <w:rPr>
          <w:sz w:val="20"/>
        </w:rPr>
        <w:t>w</w:t>
      </w:r>
      <w:r w:rsidR="00944B0A" w:rsidRPr="004E4AA7">
        <w:rPr>
          <w:sz w:val="20"/>
        </w:rPr>
        <w:t xml:space="preserve"> odrębnym</w:t>
      </w:r>
      <w:r w:rsidR="008D1D6D" w:rsidRPr="004E4AA7">
        <w:rPr>
          <w:sz w:val="20"/>
        </w:rPr>
        <w:t xml:space="preserve"> system</w:t>
      </w:r>
      <w:r w:rsidR="006154BC" w:rsidRPr="004E4AA7">
        <w:rPr>
          <w:sz w:val="20"/>
        </w:rPr>
        <w:t>ie</w:t>
      </w:r>
      <w:r w:rsidR="008D1D6D" w:rsidRPr="004E4AA7">
        <w:rPr>
          <w:sz w:val="20"/>
        </w:rPr>
        <w:t xml:space="preserve"> teleinformatyczn</w:t>
      </w:r>
      <w:r w:rsidR="00944B0A" w:rsidRPr="004E4AA7">
        <w:rPr>
          <w:sz w:val="20"/>
        </w:rPr>
        <w:t xml:space="preserve">ym </w:t>
      </w:r>
      <w:r w:rsidR="008D1D6D" w:rsidRPr="004E4AA7">
        <w:rPr>
          <w:sz w:val="20"/>
        </w:rPr>
        <w:t>Tożsamość (dawniej: Moduł Tożsamości).</w:t>
      </w:r>
    </w:p>
    <w:p w14:paraId="6F8888BD" w14:textId="67E95F08" w:rsidR="00DC4C78" w:rsidRPr="004E4AA7" w:rsidRDefault="00DC4C78" w:rsidP="000D3B07">
      <w:pPr>
        <w:spacing w:before="120" w:after="120"/>
        <w:contextualSpacing/>
        <w:jc w:val="both"/>
        <w:rPr>
          <w:sz w:val="20"/>
        </w:rPr>
      </w:pPr>
    </w:p>
    <w:p w14:paraId="7EEFA70B" w14:textId="7BAD91AC" w:rsidR="008D1D6D" w:rsidRPr="004E4AA7" w:rsidRDefault="008D1D6D" w:rsidP="000D3B07">
      <w:pPr>
        <w:spacing w:before="120" w:after="120"/>
        <w:contextualSpacing/>
        <w:jc w:val="both"/>
        <w:rPr>
          <w:sz w:val="20"/>
        </w:rPr>
      </w:pPr>
      <w:r w:rsidRPr="004E4AA7">
        <w:rPr>
          <w:sz w:val="20"/>
        </w:rPr>
        <w:t xml:space="preserve">Na system teleinformatyczny Krajowy Rejestr Zadłużonych składają się następujące </w:t>
      </w:r>
      <w:r w:rsidR="006154BC" w:rsidRPr="004E4AA7">
        <w:rPr>
          <w:sz w:val="20"/>
        </w:rPr>
        <w:t>portale</w:t>
      </w:r>
      <w:r w:rsidRPr="004E4AA7">
        <w:rPr>
          <w:sz w:val="20"/>
        </w:rPr>
        <w:t>:</w:t>
      </w:r>
    </w:p>
    <w:p w14:paraId="722E1FA6" w14:textId="6E81090E" w:rsidR="00DC4C78" w:rsidRPr="004E4AA7" w:rsidRDefault="00DC4C78" w:rsidP="000D3B07">
      <w:pPr>
        <w:spacing w:before="120" w:after="120"/>
        <w:contextualSpacing/>
        <w:jc w:val="both"/>
        <w:rPr>
          <w:sz w:val="20"/>
        </w:rPr>
      </w:pPr>
    </w:p>
    <w:p w14:paraId="6918FD31" w14:textId="47A0A9D8" w:rsidR="00DC4C78" w:rsidRPr="004E4AA7" w:rsidRDefault="00DC4C78" w:rsidP="000D3B07">
      <w:pPr>
        <w:spacing w:before="120" w:after="120"/>
        <w:contextualSpacing/>
        <w:jc w:val="both"/>
        <w:rPr>
          <w:b/>
          <w:bCs/>
          <w:sz w:val="20"/>
          <w:szCs w:val="20"/>
        </w:rPr>
      </w:pPr>
      <w:r w:rsidRPr="004E4AA7">
        <w:rPr>
          <w:b/>
          <w:bCs/>
          <w:sz w:val="20"/>
          <w:szCs w:val="20"/>
        </w:rPr>
        <w:t xml:space="preserve">Portal </w:t>
      </w:r>
      <w:r w:rsidR="008D1D6D" w:rsidRPr="004E4AA7">
        <w:rPr>
          <w:b/>
          <w:bCs/>
          <w:sz w:val="20"/>
          <w:szCs w:val="20"/>
        </w:rPr>
        <w:t>P</w:t>
      </w:r>
      <w:r w:rsidRPr="004E4AA7">
        <w:rPr>
          <w:b/>
          <w:bCs/>
          <w:sz w:val="20"/>
          <w:szCs w:val="20"/>
        </w:rPr>
        <w:t>ubliczny</w:t>
      </w:r>
    </w:p>
    <w:p w14:paraId="33FDC631" w14:textId="78379366" w:rsidR="02D967FB" w:rsidRPr="004E4AA7" w:rsidRDefault="02D967FB" w:rsidP="000D3B07">
      <w:pPr>
        <w:spacing w:before="120" w:after="120"/>
        <w:contextualSpacing/>
        <w:jc w:val="both"/>
        <w:rPr>
          <w:b/>
          <w:bCs/>
          <w:sz w:val="20"/>
          <w:szCs w:val="20"/>
        </w:rPr>
      </w:pPr>
      <w:r w:rsidRPr="004E4AA7">
        <w:rPr>
          <w:sz w:val="20"/>
          <w:szCs w:val="20"/>
        </w:rPr>
        <w:t>Za pomocą Portalu Publicznego każdy użytkownik (portal nie wymaga zalogowania) może bezpłatnie przejrzeć obwieszczenia oraz wyszukać informacje:</w:t>
      </w:r>
    </w:p>
    <w:p w14:paraId="01F0209F" w14:textId="774C4EF4" w:rsidR="02D967FB" w:rsidRPr="004E4AA7" w:rsidRDefault="02D967FB" w:rsidP="000D3B07">
      <w:pPr>
        <w:pStyle w:val="Akapitzlist"/>
        <w:numPr>
          <w:ilvl w:val="0"/>
          <w:numId w:val="2"/>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osobach i podmiotach, wobec których są lub były prowadzone postępowania restrukturyzacyjne, upadłościowe oraz postępowania w sprawach orzeczenia zakazu prowadzenia działalności gospodarczej,</w:t>
      </w:r>
    </w:p>
    <w:p w14:paraId="720AE369" w14:textId="4ED894B3" w:rsidR="02D967FB" w:rsidRPr="004E4AA7" w:rsidRDefault="02D967FB" w:rsidP="000D3B07">
      <w:pPr>
        <w:pStyle w:val="Akapitzlist"/>
        <w:numPr>
          <w:ilvl w:val="0"/>
          <w:numId w:val="2"/>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osobach i podmiotach, wobec których była prowadzona egzekucja sądowa lub administracyjna i została ona umorzona z powodu jej bezskuteczności,</w:t>
      </w:r>
    </w:p>
    <w:p w14:paraId="59387298" w14:textId="3BE027DC" w:rsidR="02D967FB" w:rsidRPr="004E4AA7" w:rsidRDefault="02D967FB" w:rsidP="000D3B07">
      <w:pPr>
        <w:pStyle w:val="Akapitzlist"/>
        <w:numPr>
          <w:ilvl w:val="0"/>
          <w:numId w:val="2"/>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osobach, wobec których toczy się egzekucja świadczeń alimentacyjnych lub egzekucja należności budżetu państwa powstałych z tytułu świadczeń wypłacanych w przypadku bezskuteczności egzekucji alimentów o składnikach masy upadłości,</w:t>
      </w:r>
    </w:p>
    <w:p w14:paraId="34BF0955" w14:textId="093BEEC7" w:rsidR="02D967FB" w:rsidRPr="004E4AA7" w:rsidRDefault="02D967FB" w:rsidP="000D3B07">
      <w:pPr>
        <w:pStyle w:val="Akapitzlist"/>
        <w:numPr>
          <w:ilvl w:val="0"/>
          <w:numId w:val="2"/>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doradcach restrukturyzacyjnych.</w:t>
      </w:r>
    </w:p>
    <w:p w14:paraId="5D61B85F" w14:textId="5B5E9D7C" w:rsidR="1398FE58" w:rsidRPr="004E4AA7" w:rsidRDefault="1398FE58" w:rsidP="000D3B07">
      <w:pPr>
        <w:spacing w:before="120" w:after="120"/>
        <w:contextualSpacing/>
        <w:jc w:val="both"/>
        <w:rPr>
          <w:sz w:val="20"/>
          <w:szCs w:val="20"/>
        </w:rPr>
      </w:pPr>
    </w:p>
    <w:p w14:paraId="44B24491" w14:textId="3B925200" w:rsidR="26B32407" w:rsidRPr="004E4AA7" w:rsidRDefault="26B32407" w:rsidP="000D3B07">
      <w:pPr>
        <w:spacing w:before="120" w:after="120"/>
        <w:contextualSpacing/>
        <w:jc w:val="both"/>
        <w:rPr>
          <w:b/>
          <w:bCs/>
          <w:sz w:val="20"/>
          <w:szCs w:val="20"/>
        </w:rPr>
      </w:pPr>
      <w:r w:rsidRPr="004E4AA7">
        <w:rPr>
          <w:b/>
          <w:bCs/>
          <w:sz w:val="20"/>
          <w:szCs w:val="20"/>
        </w:rPr>
        <w:t>Portal Użytkownik</w:t>
      </w:r>
      <w:r w:rsidR="008D1A6E" w:rsidRPr="004E4AA7">
        <w:rPr>
          <w:b/>
          <w:bCs/>
          <w:sz w:val="20"/>
          <w:szCs w:val="20"/>
        </w:rPr>
        <w:t xml:space="preserve">a </w:t>
      </w:r>
      <w:r w:rsidRPr="004E4AA7">
        <w:rPr>
          <w:b/>
          <w:bCs/>
          <w:sz w:val="20"/>
          <w:szCs w:val="20"/>
        </w:rPr>
        <w:t>Zarejestrowan</w:t>
      </w:r>
      <w:r w:rsidR="00682232" w:rsidRPr="004E4AA7">
        <w:rPr>
          <w:b/>
          <w:bCs/>
          <w:sz w:val="20"/>
          <w:szCs w:val="20"/>
        </w:rPr>
        <w:t>ego</w:t>
      </w:r>
    </w:p>
    <w:p w14:paraId="1557627F" w14:textId="1532E684" w:rsidR="26B32407" w:rsidRPr="004E4AA7" w:rsidRDefault="26B32407" w:rsidP="000D3B07">
      <w:pPr>
        <w:spacing w:before="120" w:after="120"/>
        <w:contextualSpacing/>
        <w:jc w:val="both"/>
        <w:rPr>
          <w:sz w:val="20"/>
          <w:szCs w:val="20"/>
        </w:rPr>
      </w:pPr>
      <w:r w:rsidRPr="004E4AA7">
        <w:rPr>
          <w:sz w:val="20"/>
          <w:szCs w:val="20"/>
        </w:rPr>
        <w:t>W tym portalu można składać wnioski i pisma procesowe w postępowaniach restrukturyzacyjnych, upadłościowych oraz postępowaniach w sprawie orzeczenia zakazu prowadzenia działalności gospodarczej, można przeglądać akta tych postępowań oraz odbierać korespondencję związaną z tymi postępowaniami. Korzystanie z Portalu Użytkownik</w:t>
      </w:r>
      <w:r w:rsidR="00682232" w:rsidRPr="004E4AA7">
        <w:rPr>
          <w:sz w:val="20"/>
          <w:szCs w:val="20"/>
        </w:rPr>
        <w:t>a</w:t>
      </w:r>
      <w:r w:rsidRPr="004E4AA7">
        <w:rPr>
          <w:sz w:val="20"/>
          <w:szCs w:val="20"/>
        </w:rPr>
        <w:t xml:space="preserve"> Zarejestrowan</w:t>
      </w:r>
      <w:r w:rsidR="00682232" w:rsidRPr="004E4AA7">
        <w:rPr>
          <w:sz w:val="20"/>
          <w:szCs w:val="20"/>
        </w:rPr>
        <w:t>ego</w:t>
      </w:r>
      <w:r w:rsidRPr="004E4AA7">
        <w:rPr>
          <w:sz w:val="20"/>
          <w:szCs w:val="20"/>
        </w:rPr>
        <w:t xml:space="preserve"> wymaga założenia konta w systemie teleinformatycznym Tożsamość.</w:t>
      </w:r>
    </w:p>
    <w:p w14:paraId="683A22CF" w14:textId="491A18AF" w:rsidR="1398FE58" w:rsidRPr="004E4AA7" w:rsidRDefault="1398FE58" w:rsidP="000D3B07">
      <w:pPr>
        <w:spacing w:before="120" w:after="120"/>
        <w:contextualSpacing/>
        <w:jc w:val="both"/>
        <w:rPr>
          <w:b/>
          <w:bCs/>
          <w:sz w:val="20"/>
          <w:szCs w:val="20"/>
        </w:rPr>
      </w:pPr>
    </w:p>
    <w:p w14:paraId="3B9350A1" w14:textId="5495415B" w:rsidR="32FD8431" w:rsidRPr="004E4AA7" w:rsidRDefault="32FD8431" w:rsidP="000D3B07">
      <w:pPr>
        <w:spacing w:before="120" w:after="120"/>
        <w:contextualSpacing/>
        <w:jc w:val="both"/>
        <w:rPr>
          <w:b/>
          <w:bCs/>
          <w:sz w:val="20"/>
          <w:szCs w:val="20"/>
        </w:rPr>
      </w:pPr>
      <w:r w:rsidRPr="004E4AA7">
        <w:rPr>
          <w:b/>
          <w:bCs/>
          <w:sz w:val="20"/>
          <w:szCs w:val="20"/>
        </w:rPr>
        <w:t>Portal Sądowy</w:t>
      </w:r>
    </w:p>
    <w:p w14:paraId="7E87C469" w14:textId="118AA2F0" w:rsidR="32FD8431" w:rsidRPr="004E4AA7" w:rsidRDefault="6C271B8E" w:rsidP="000D3B07">
      <w:pPr>
        <w:spacing w:before="120" w:after="120"/>
        <w:contextualSpacing/>
        <w:jc w:val="both"/>
        <w:rPr>
          <w:sz w:val="20"/>
          <w:szCs w:val="20"/>
        </w:rPr>
      </w:pPr>
      <w:r w:rsidRPr="004E4AA7">
        <w:rPr>
          <w:sz w:val="20"/>
          <w:szCs w:val="20"/>
        </w:rPr>
        <w:t xml:space="preserve">Portalu Sądowym obsługiwane są postępowania upadłościowe i restrukturyzacyjne oraz o orzeczenie zakazu prowadzenia działalności gospodarczej na podstawie ustawy Prawo Restrukturyzacyjne oraz ustawy Prawo upadłościowe przez właściwe wydziały w sądach rejonowych oraz okręgowych. W ramach Portalu Sądowego dostępny jest Moduł wprowadzania wniosków przez pracowników sądów, który jest obsługiwany przez Biura Podawcze lub Biura Obsługi Interesantów we wszystkich sądach rejonowych w Polsce. </w:t>
      </w:r>
      <w:r w:rsidR="32FD8431" w:rsidRPr="004E4AA7">
        <w:rPr>
          <w:sz w:val="20"/>
          <w:szCs w:val="20"/>
        </w:rPr>
        <w:t>Na Portal Sądowy składają także moduły:</w:t>
      </w:r>
    </w:p>
    <w:p w14:paraId="0C04DC10" w14:textId="38E8B657" w:rsidR="13A85BD0" w:rsidRPr="004E4AA7" w:rsidRDefault="13A85BD0">
      <w:pPr>
        <w:pStyle w:val="Akapitzlist"/>
        <w:numPr>
          <w:ilvl w:val="0"/>
          <w:numId w:val="38"/>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 xml:space="preserve">Obsługa sekretariatu / </w:t>
      </w:r>
      <w:r w:rsidR="32FD8431" w:rsidRPr="004E4AA7">
        <w:rPr>
          <w:rFonts w:ascii="Times New Roman" w:hAnsi="Times New Roman" w:cs="Times New Roman"/>
          <w:sz w:val="20"/>
          <w:szCs w:val="20"/>
        </w:rPr>
        <w:t xml:space="preserve">Kancelaria </w:t>
      </w:r>
      <w:r w:rsidR="37C7A8DC" w:rsidRPr="004E4AA7">
        <w:rPr>
          <w:rFonts w:ascii="Times New Roman" w:hAnsi="Times New Roman" w:cs="Times New Roman"/>
          <w:sz w:val="20"/>
          <w:szCs w:val="20"/>
        </w:rPr>
        <w:t>(moduł umożliwiający obsługę korespondencji)</w:t>
      </w:r>
    </w:p>
    <w:p w14:paraId="2462EA38" w14:textId="2F1F0DBF" w:rsidR="32FD8431" w:rsidRPr="004E4AA7" w:rsidRDefault="32FD8431">
      <w:pPr>
        <w:pStyle w:val="Akapitzlist"/>
        <w:numPr>
          <w:ilvl w:val="0"/>
          <w:numId w:val="38"/>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Statystyka</w:t>
      </w:r>
      <w:r w:rsidR="30141464" w:rsidRPr="004E4AA7">
        <w:rPr>
          <w:rFonts w:ascii="Times New Roman" w:hAnsi="Times New Roman" w:cs="Times New Roman"/>
          <w:sz w:val="20"/>
          <w:szCs w:val="20"/>
        </w:rPr>
        <w:t xml:space="preserve"> </w:t>
      </w:r>
      <w:r w:rsidR="4EB3F5E6" w:rsidRPr="004E4AA7">
        <w:rPr>
          <w:rFonts w:ascii="Times New Roman" w:hAnsi="Times New Roman" w:cs="Times New Roman"/>
          <w:sz w:val="20"/>
          <w:szCs w:val="20"/>
        </w:rPr>
        <w:t>(moduł umożliwiający wykonywanie cyklicznych sprawozdań na potrzeby własne sądów i na rzecz Ministerstwa Sprawiedliwości).</w:t>
      </w:r>
    </w:p>
    <w:p w14:paraId="0E919CAF" w14:textId="06773688" w:rsidR="1398FE58" w:rsidRPr="004E4AA7" w:rsidRDefault="1398FE58" w:rsidP="000D3B07">
      <w:pPr>
        <w:spacing w:before="120" w:after="120"/>
        <w:contextualSpacing/>
        <w:jc w:val="both"/>
        <w:rPr>
          <w:sz w:val="20"/>
          <w:szCs w:val="20"/>
        </w:rPr>
      </w:pPr>
    </w:p>
    <w:p w14:paraId="4F39E8F1" w14:textId="030E90CE" w:rsidR="00DC4C78" w:rsidRPr="004E4AA7" w:rsidRDefault="00DC4C78" w:rsidP="000D3B07">
      <w:pPr>
        <w:spacing w:before="120" w:after="120"/>
        <w:contextualSpacing/>
        <w:jc w:val="both"/>
        <w:rPr>
          <w:b/>
          <w:bCs/>
          <w:sz w:val="20"/>
        </w:rPr>
      </w:pPr>
      <w:r w:rsidRPr="004E4AA7">
        <w:rPr>
          <w:b/>
          <w:bCs/>
          <w:sz w:val="20"/>
          <w:szCs w:val="20"/>
        </w:rPr>
        <w:t xml:space="preserve">Rejestr dla </w:t>
      </w:r>
      <w:r w:rsidR="00944B0A" w:rsidRPr="004E4AA7">
        <w:rPr>
          <w:b/>
          <w:bCs/>
          <w:sz w:val="20"/>
          <w:szCs w:val="20"/>
        </w:rPr>
        <w:t>O</w:t>
      </w:r>
      <w:r w:rsidRPr="004E4AA7">
        <w:rPr>
          <w:b/>
          <w:bCs/>
          <w:sz w:val="20"/>
          <w:szCs w:val="20"/>
        </w:rPr>
        <w:t xml:space="preserve">rganów </w:t>
      </w:r>
      <w:r w:rsidR="00944B0A" w:rsidRPr="004E4AA7">
        <w:rPr>
          <w:b/>
          <w:bCs/>
          <w:sz w:val="20"/>
          <w:szCs w:val="20"/>
        </w:rPr>
        <w:t>A</w:t>
      </w:r>
      <w:r w:rsidRPr="004E4AA7">
        <w:rPr>
          <w:b/>
          <w:bCs/>
          <w:sz w:val="20"/>
          <w:szCs w:val="20"/>
        </w:rPr>
        <w:t xml:space="preserve">dministracji </w:t>
      </w:r>
      <w:r w:rsidR="00944B0A" w:rsidRPr="004E4AA7">
        <w:rPr>
          <w:b/>
          <w:bCs/>
          <w:sz w:val="20"/>
          <w:szCs w:val="20"/>
        </w:rPr>
        <w:t>P</w:t>
      </w:r>
      <w:r w:rsidRPr="004E4AA7">
        <w:rPr>
          <w:b/>
          <w:bCs/>
          <w:sz w:val="20"/>
          <w:szCs w:val="20"/>
        </w:rPr>
        <w:t>ublicznej</w:t>
      </w:r>
    </w:p>
    <w:p w14:paraId="7B048A1C" w14:textId="04AB0C03" w:rsidR="060596A0" w:rsidRPr="004E4AA7" w:rsidRDefault="060596A0" w:rsidP="000D3B07">
      <w:pPr>
        <w:spacing w:before="120" w:after="120"/>
        <w:contextualSpacing/>
        <w:jc w:val="both"/>
        <w:rPr>
          <w:sz w:val="20"/>
          <w:szCs w:val="20"/>
        </w:rPr>
      </w:pPr>
      <w:r w:rsidRPr="004E4AA7">
        <w:rPr>
          <w:sz w:val="20"/>
          <w:szCs w:val="20"/>
        </w:rPr>
        <w:t>Przeznaczony dla organów zobowiązanych do zamieszczania w Krajowym Rejestrze Zadłużonych informacji:</w:t>
      </w:r>
    </w:p>
    <w:p w14:paraId="6927D76B" w14:textId="648DE50E" w:rsidR="060596A0" w:rsidRPr="004E4AA7" w:rsidRDefault="060596A0" w:rsidP="000D3B07">
      <w:pPr>
        <w:pStyle w:val="Akapitzlist"/>
        <w:numPr>
          <w:ilvl w:val="0"/>
          <w:numId w:val="1"/>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osobach i podmiotach, wobec których była prowadzona egzekucja sądowa lub administracyjna i została ona umorzona z powodu jej bezskuteczności,</w:t>
      </w:r>
    </w:p>
    <w:p w14:paraId="4DE7FAD4" w14:textId="0E78C84E" w:rsidR="060596A0" w:rsidRPr="004E4AA7" w:rsidRDefault="060596A0" w:rsidP="000D3B07">
      <w:pPr>
        <w:pStyle w:val="Akapitzlist"/>
        <w:numPr>
          <w:ilvl w:val="0"/>
          <w:numId w:val="1"/>
        </w:numPr>
        <w:spacing w:before="120" w:after="120" w:line="240" w:lineRule="auto"/>
        <w:contextualSpacing/>
        <w:jc w:val="both"/>
        <w:rPr>
          <w:rFonts w:ascii="Times New Roman" w:hAnsi="Times New Roman" w:cs="Times New Roman"/>
        </w:rPr>
      </w:pPr>
      <w:r w:rsidRPr="004E4AA7">
        <w:rPr>
          <w:rFonts w:ascii="Times New Roman" w:hAnsi="Times New Roman" w:cs="Times New Roman"/>
          <w:sz w:val="20"/>
          <w:szCs w:val="20"/>
        </w:rPr>
        <w:t>o osobach, wobec których toczy się egzekucja świadczeń alimentacyjnych lub egzekucja należności budżetu państwa powstałych z tytułu świadczeń wypłacanych w przypadku bezskuteczności egzekucji alimentów o składnikach masy upadłości.</w:t>
      </w:r>
    </w:p>
    <w:p w14:paraId="5C6050B0" w14:textId="5B946853" w:rsidR="060596A0" w:rsidRPr="004E4AA7" w:rsidRDefault="060596A0" w:rsidP="000D3B07">
      <w:pPr>
        <w:spacing w:before="120" w:after="120"/>
        <w:contextualSpacing/>
        <w:jc w:val="both"/>
        <w:rPr>
          <w:sz w:val="20"/>
          <w:szCs w:val="20"/>
        </w:rPr>
      </w:pPr>
      <w:r w:rsidRPr="004E4AA7">
        <w:rPr>
          <w:sz w:val="20"/>
          <w:szCs w:val="20"/>
        </w:rPr>
        <w:t xml:space="preserve">Korzystanie z </w:t>
      </w:r>
      <w:r w:rsidR="631ED55F" w:rsidRPr="004E4AA7">
        <w:rPr>
          <w:sz w:val="20"/>
          <w:szCs w:val="20"/>
        </w:rPr>
        <w:t xml:space="preserve">Rejestru dla Organów Administracji Publicznej </w:t>
      </w:r>
      <w:r w:rsidRPr="004E4AA7">
        <w:rPr>
          <w:sz w:val="20"/>
          <w:szCs w:val="20"/>
        </w:rPr>
        <w:t>wymaga założenia konta w systemie teleinformatycznym Tożsamość</w:t>
      </w:r>
      <w:r w:rsidR="00DB47A0" w:rsidRPr="004E4AA7">
        <w:rPr>
          <w:sz w:val="20"/>
          <w:szCs w:val="20"/>
        </w:rPr>
        <w:t xml:space="preserve"> (dawniej: Moduł Tożsamości).</w:t>
      </w:r>
    </w:p>
    <w:p w14:paraId="048C6547" w14:textId="77777777" w:rsidR="00DC4C78" w:rsidRPr="004E4AA7" w:rsidRDefault="00DC4C78" w:rsidP="000D3B07">
      <w:pPr>
        <w:spacing w:before="120" w:after="120"/>
        <w:contextualSpacing/>
        <w:jc w:val="both"/>
        <w:rPr>
          <w:sz w:val="20"/>
        </w:rPr>
      </w:pPr>
    </w:p>
    <w:p w14:paraId="22432355" w14:textId="3D6D0274" w:rsidR="23F3606E" w:rsidRPr="004E4AA7" w:rsidRDefault="23F3606E" w:rsidP="000D3B07">
      <w:pPr>
        <w:spacing w:before="120" w:after="120"/>
        <w:contextualSpacing/>
        <w:jc w:val="both"/>
        <w:rPr>
          <w:b/>
          <w:bCs/>
          <w:sz w:val="20"/>
          <w:szCs w:val="20"/>
        </w:rPr>
      </w:pPr>
      <w:r w:rsidRPr="004E4AA7">
        <w:rPr>
          <w:b/>
          <w:bCs/>
          <w:sz w:val="20"/>
          <w:szCs w:val="20"/>
        </w:rPr>
        <w:t>Portal Użytkownik</w:t>
      </w:r>
      <w:r w:rsidR="00645402" w:rsidRPr="004E4AA7">
        <w:rPr>
          <w:b/>
          <w:bCs/>
          <w:sz w:val="20"/>
          <w:szCs w:val="20"/>
        </w:rPr>
        <w:t>a</w:t>
      </w:r>
      <w:r w:rsidRPr="004E4AA7">
        <w:rPr>
          <w:b/>
          <w:bCs/>
          <w:sz w:val="20"/>
          <w:szCs w:val="20"/>
        </w:rPr>
        <w:t xml:space="preserve"> Branżow</w:t>
      </w:r>
      <w:r w:rsidR="00645402" w:rsidRPr="004E4AA7">
        <w:rPr>
          <w:b/>
          <w:bCs/>
          <w:sz w:val="20"/>
          <w:szCs w:val="20"/>
        </w:rPr>
        <w:t>ego</w:t>
      </w:r>
    </w:p>
    <w:p w14:paraId="7A3AE226" w14:textId="6FFB1837" w:rsidR="1398FE58" w:rsidRPr="004E4AA7" w:rsidRDefault="1398FE58" w:rsidP="000D3B07">
      <w:pPr>
        <w:spacing w:before="120" w:after="120"/>
        <w:contextualSpacing/>
        <w:jc w:val="both"/>
        <w:rPr>
          <w:sz w:val="20"/>
          <w:szCs w:val="20"/>
        </w:rPr>
      </w:pPr>
    </w:p>
    <w:p w14:paraId="0C04FB2A" w14:textId="1A03F396" w:rsidR="23F3606E" w:rsidRPr="004E4AA7" w:rsidRDefault="23F3606E" w:rsidP="000D3B07">
      <w:pPr>
        <w:spacing w:before="120" w:after="120"/>
        <w:contextualSpacing/>
        <w:jc w:val="both"/>
        <w:rPr>
          <w:sz w:val="20"/>
          <w:szCs w:val="20"/>
        </w:rPr>
      </w:pPr>
      <w:r w:rsidRPr="004E4AA7">
        <w:rPr>
          <w:sz w:val="20"/>
          <w:szCs w:val="20"/>
        </w:rPr>
        <w:lastRenderedPageBreak/>
        <w:t>Za pośrednictwem</w:t>
      </w:r>
      <w:r w:rsidR="13418C12" w:rsidRPr="004E4AA7">
        <w:rPr>
          <w:sz w:val="20"/>
          <w:szCs w:val="20"/>
        </w:rPr>
        <w:t xml:space="preserve"> Portal</w:t>
      </w:r>
      <w:r w:rsidR="00645402" w:rsidRPr="004E4AA7">
        <w:rPr>
          <w:sz w:val="20"/>
          <w:szCs w:val="20"/>
        </w:rPr>
        <w:t>u</w:t>
      </w:r>
      <w:r w:rsidR="13418C12" w:rsidRPr="004E4AA7">
        <w:rPr>
          <w:sz w:val="20"/>
          <w:szCs w:val="20"/>
        </w:rPr>
        <w:t xml:space="preserve"> Użytkownik</w:t>
      </w:r>
      <w:r w:rsidR="00645402" w:rsidRPr="004E4AA7">
        <w:rPr>
          <w:sz w:val="20"/>
          <w:szCs w:val="20"/>
        </w:rPr>
        <w:t>a</w:t>
      </w:r>
      <w:r w:rsidR="13418C12" w:rsidRPr="004E4AA7">
        <w:rPr>
          <w:sz w:val="20"/>
          <w:szCs w:val="20"/>
        </w:rPr>
        <w:t xml:space="preserve"> Branżow</w:t>
      </w:r>
      <w:r w:rsidR="00645402" w:rsidRPr="004E4AA7">
        <w:rPr>
          <w:sz w:val="20"/>
          <w:szCs w:val="20"/>
        </w:rPr>
        <w:t>ego</w:t>
      </w:r>
      <w:r w:rsidRPr="004E4AA7">
        <w:rPr>
          <w:sz w:val="20"/>
          <w:szCs w:val="20"/>
        </w:rPr>
        <w:t xml:space="preserve"> syndycy, nadzorcy oraz zarządcy wykonują czynności w postępowaniach restrukturyzacyjnych i upadłościowych</w:t>
      </w:r>
      <w:r w:rsidR="58F743E8" w:rsidRPr="004E4AA7">
        <w:rPr>
          <w:sz w:val="20"/>
          <w:szCs w:val="20"/>
        </w:rPr>
        <w:t xml:space="preserve"> (p</w:t>
      </w:r>
      <w:r w:rsidR="00DC4C78" w:rsidRPr="004E4AA7">
        <w:rPr>
          <w:sz w:val="20"/>
          <w:szCs w:val="20"/>
        </w:rPr>
        <w:t>rowadzonych na podstawie ustawy Prawo Restrukturyzacyjne oraz ustawy Prawo upadłościowe przez pozasądowy organ postępowania</w:t>
      </w:r>
      <w:r w:rsidR="1BE1564F" w:rsidRPr="004E4AA7">
        <w:rPr>
          <w:sz w:val="20"/>
          <w:szCs w:val="20"/>
        </w:rPr>
        <w:t>)</w:t>
      </w:r>
      <w:r w:rsidR="00DC4C78" w:rsidRPr="004E4AA7">
        <w:rPr>
          <w:sz w:val="20"/>
          <w:szCs w:val="20"/>
        </w:rPr>
        <w:t>.</w:t>
      </w:r>
      <w:r w:rsidR="6BAB55C5" w:rsidRPr="004E4AA7">
        <w:rPr>
          <w:sz w:val="20"/>
          <w:szCs w:val="20"/>
        </w:rPr>
        <w:t xml:space="preserve"> </w:t>
      </w:r>
      <w:r w:rsidR="113F4E91" w:rsidRPr="004E4AA7">
        <w:rPr>
          <w:sz w:val="20"/>
          <w:szCs w:val="20"/>
        </w:rPr>
        <w:t>Korzystanie z Portalu Użytkownik</w:t>
      </w:r>
      <w:r w:rsidR="00645402" w:rsidRPr="004E4AA7">
        <w:rPr>
          <w:sz w:val="20"/>
          <w:szCs w:val="20"/>
        </w:rPr>
        <w:t>a</w:t>
      </w:r>
      <w:r w:rsidR="113F4E91" w:rsidRPr="004E4AA7">
        <w:rPr>
          <w:sz w:val="20"/>
          <w:szCs w:val="20"/>
        </w:rPr>
        <w:t xml:space="preserve"> </w:t>
      </w:r>
      <w:r w:rsidR="00645402" w:rsidRPr="004E4AA7">
        <w:rPr>
          <w:sz w:val="20"/>
          <w:szCs w:val="20"/>
        </w:rPr>
        <w:t>Branżowego</w:t>
      </w:r>
      <w:r w:rsidR="113F4E91" w:rsidRPr="004E4AA7">
        <w:rPr>
          <w:sz w:val="20"/>
          <w:szCs w:val="20"/>
        </w:rPr>
        <w:t xml:space="preserve"> wymaga założenia konta w systemie teleinformatycznym Tożsamość.</w:t>
      </w:r>
      <w:r w:rsidR="00DB47A0" w:rsidRPr="004E4AA7">
        <w:rPr>
          <w:sz w:val="20"/>
          <w:szCs w:val="20"/>
        </w:rPr>
        <w:t xml:space="preserve"> Na P</w:t>
      </w:r>
      <w:r w:rsidR="008D1A6E" w:rsidRPr="004E4AA7">
        <w:rPr>
          <w:sz w:val="20"/>
          <w:szCs w:val="20"/>
        </w:rPr>
        <w:t>B</w:t>
      </w:r>
      <w:r w:rsidR="00DB47A0" w:rsidRPr="004E4AA7">
        <w:rPr>
          <w:sz w:val="20"/>
          <w:szCs w:val="20"/>
        </w:rPr>
        <w:t xml:space="preserve"> składa się także moduł:</w:t>
      </w:r>
    </w:p>
    <w:p w14:paraId="792F7EB5" w14:textId="1E54A56F" w:rsidR="00DB47A0" w:rsidRPr="004E4AA7" w:rsidRDefault="00DB47A0">
      <w:pPr>
        <w:pStyle w:val="Akapitzlist"/>
        <w:numPr>
          <w:ilvl w:val="0"/>
          <w:numId w:val="39"/>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 xml:space="preserve">Kancelaria </w:t>
      </w:r>
      <w:r w:rsidR="00853EE3" w:rsidRPr="004E4AA7">
        <w:rPr>
          <w:rFonts w:ascii="Times New Roman" w:hAnsi="Times New Roman" w:cs="Times New Roman"/>
          <w:sz w:val="20"/>
          <w:szCs w:val="20"/>
        </w:rPr>
        <w:t xml:space="preserve">organu pozasądowego </w:t>
      </w:r>
      <w:r w:rsidRPr="004E4AA7">
        <w:rPr>
          <w:rFonts w:ascii="Times New Roman" w:hAnsi="Times New Roman" w:cs="Times New Roman"/>
          <w:sz w:val="20"/>
          <w:szCs w:val="20"/>
        </w:rPr>
        <w:t>(moduł umożliwiający obsługę korespondencji).</w:t>
      </w:r>
    </w:p>
    <w:p w14:paraId="01307D67" w14:textId="19227598" w:rsidR="1398FE58" w:rsidRPr="004E4AA7" w:rsidRDefault="1398FE58" w:rsidP="000D3B07">
      <w:pPr>
        <w:spacing w:before="120" w:after="120"/>
        <w:contextualSpacing/>
        <w:jc w:val="both"/>
        <w:rPr>
          <w:sz w:val="20"/>
          <w:szCs w:val="20"/>
        </w:rPr>
      </w:pPr>
    </w:p>
    <w:p w14:paraId="59DEF8D2" w14:textId="7896956D" w:rsidR="0F9D6D2D" w:rsidRPr="004E4AA7" w:rsidRDefault="0F9D6D2D" w:rsidP="000D3B07">
      <w:pPr>
        <w:spacing w:before="120" w:after="120"/>
        <w:contextualSpacing/>
        <w:jc w:val="both"/>
        <w:rPr>
          <w:b/>
          <w:bCs/>
          <w:sz w:val="20"/>
          <w:szCs w:val="20"/>
        </w:rPr>
      </w:pPr>
      <w:r w:rsidRPr="004E4AA7">
        <w:rPr>
          <w:b/>
          <w:bCs/>
          <w:sz w:val="20"/>
          <w:szCs w:val="20"/>
        </w:rPr>
        <w:t>Lista Doradców Restrukturyzacyjnych</w:t>
      </w:r>
    </w:p>
    <w:p w14:paraId="0BDF677C" w14:textId="1A3DE85D" w:rsidR="1398FE58" w:rsidRPr="004E4AA7" w:rsidRDefault="1398FE58" w:rsidP="000D3B07">
      <w:pPr>
        <w:spacing w:before="120" w:after="120"/>
        <w:contextualSpacing/>
        <w:jc w:val="both"/>
        <w:rPr>
          <w:sz w:val="20"/>
          <w:szCs w:val="20"/>
        </w:rPr>
      </w:pPr>
    </w:p>
    <w:p w14:paraId="50A07B60" w14:textId="68D25A9F" w:rsidR="0015113E" w:rsidRPr="004E4AA7" w:rsidRDefault="18C1698C" w:rsidP="000D3B07">
      <w:pPr>
        <w:spacing w:before="120" w:after="120"/>
        <w:contextualSpacing/>
        <w:jc w:val="both"/>
        <w:rPr>
          <w:sz w:val="20"/>
          <w:szCs w:val="20"/>
        </w:rPr>
      </w:pPr>
      <w:r w:rsidRPr="004E4AA7">
        <w:rPr>
          <w:sz w:val="20"/>
          <w:szCs w:val="20"/>
        </w:rPr>
        <w:t>Za</w:t>
      </w:r>
      <w:r w:rsidR="0F9D6D2D" w:rsidRPr="004E4AA7">
        <w:rPr>
          <w:sz w:val="20"/>
          <w:szCs w:val="20"/>
        </w:rPr>
        <w:t xml:space="preserve"> pomoc</w:t>
      </w:r>
      <w:r w:rsidR="4CB12D9C" w:rsidRPr="004E4AA7">
        <w:rPr>
          <w:sz w:val="20"/>
          <w:szCs w:val="20"/>
        </w:rPr>
        <w:t>ą</w:t>
      </w:r>
      <w:r w:rsidR="0F9D6D2D" w:rsidRPr="004E4AA7">
        <w:rPr>
          <w:sz w:val="20"/>
          <w:szCs w:val="20"/>
        </w:rPr>
        <w:t xml:space="preserve"> </w:t>
      </w:r>
      <w:r w:rsidR="00E946E0" w:rsidRPr="004E4AA7">
        <w:rPr>
          <w:sz w:val="20"/>
          <w:szCs w:val="20"/>
        </w:rPr>
        <w:t xml:space="preserve">funkcjonalności </w:t>
      </w:r>
      <w:r w:rsidR="0F9D6D2D" w:rsidRPr="004E4AA7">
        <w:rPr>
          <w:sz w:val="20"/>
          <w:szCs w:val="20"/>
        </w:rPr>
        <w:t xml:space="preserve">portalu </w:t>
      </w:r>
      <w:r w:rsidR="12479851" w:rsidRPr="004E4AA7">
        <w:rPr>
          <w:sz w:val="20"/>
          <w:szCs w:val="20"/>
        </w:rPr>
        <w:t>właściwa</w:t>
      </w:r>
      <w:r w:rsidR="0F9D6D2D" w:rsidRPr="004E4AA7">
        <w:rPr>
          <w:sz w:val="20"/>
          <w:szCs w:val="20"/>
        </w:rPr>
        <w:t xml:space="preserve"> komórk</w:t>
      </w:r>
      <w:r w:rsidR="5423A848" w:rsidRPr="004E4AA7">
        <w:rPr>
          <w:sz w:val="20"/>
          <w:szCs w:val="20"/>
        </w:rPr>
        <w:t>a</w:t>
      </w:r>
      <w:r w:rsidR="0F9D6D2D" w:rsidRPr="004E4AA7">
        <w:rPr>
          <w:sz w:val="20"/>
          <w:szCs w:val="20"/>
        </w:rPr>
        <w:t xml:space="preserve"> Ministe</w:t>
      </w:r>
      <w:r w:rsidR="4DD389B4" w:rsidRPr="004E4AA7">
        <w:rPr>
          <w:sz w:val="20"/>
          <w:szCs w:val="20"/>
        </w:rPr>
        <w:t xml:space="preserve">rstwa Sprawiedliwości </w:t>
      </w:r>
      <w:r w:rsidR="29049F68" w:rsidRPr="004E4AA7">
        <w:rPr>
          <w:sz w:val="20"/>
          <w:szCs w:val="20"/>
        </w:rPr>
        <w:t xml:space="preserve">prowadzi listę oraz upublicznia informacje </w:t>
      </w:r>
      <w:r w:rsidR="4DD389B4" w:rsidRPr="004E4AA7">
        <w:rPr>
          <w:sz w:val="20"/>
          <w:szCs w:val="20"/>
        </w:rPr>
        <w:t>wynikające z Ustawy o licencji doradcy restrukturyzacyjnego z dnia 15 czerwca 2007 r. (t.j. Dz.U. z 2022 r. poz. 1007).</w:t>
      </w:r>
      <w:r w:rsidR="00E946E0" w:rsidRPr="004E4AA7">
        <w:rPr>
          <w:sz w:val="20"/>
          <w:szCs w:val="20"/>
        </w:rPr>
        <w:t xml:space="preserve"> Lista prowadzona jest w ramach systemu</w:t>
      </w:r>
      <w:r w:rsidR="00104E4D" w:rsidRPr="004E4AA7">
        <w:rPr>
          <w:sz w:val="20"/>
          <w:szCs w:val="20"/>
        </w:rPr>
        <w:t xml:space="preserve"> </w:t>
      </w:r>
      <w:r w:rsidR="00E946E0" w:rsidRPr="004E4AA7">
        <w:rPr>
          <w:sz w:val="20"/>
          <w:szCs w:val="20"/>
        </w:rPr>
        <w:t>teleinformatycznego Krajowy Rejestr Zadłużonych.</w:t>
      </w:r>
    </w:p>
    <w:p w14:paraId="08C8CA07" w14:textId="77777777" w:rsidR="00A30967" w:rsidRPr="004E4AA7" w:rsidRDefault="00A30967" w:rsidP="000D3B07">
      <w:pPr>
        <w:spacing w:before="120" w:after="120"/>
        <w:ind w:firstLine="432"/>
        <w:jc w:val="both"/>
        <w:rPr>
          <w:sz w:val="20"/>
        </w:rPr>
      </w:pPr>
    </w:p>
    <w:p w14:paraId="1DB01030" w14:textId="70B46F0C" w:rsidR="00A30967" w:rsidRPr="004E4AA7" w:rsidRDefault="00503345" w:rsidP="00503345">
      <w:pPr>
        <w:pStyle w:val="Nagowek3"/>
        <w:rPr>
          <w:rStyle w:val="Wyrnienieintensywne"/>
          <w:rFonts w:ascii="Times New Roman" w:hAnsi="Times New Roman"/>
          <w:i w:val="0"/>
          <w:iCs w:val="0"/>
          <w:color w:val="auto"/>
        </w:rPr>
      </w:pPr>
      <w:bookmarkStart w:id="28" w:name="_Toc452814301"/>
      <w:bookmarkStart w:id="29" w:name="_Toc452977415"/>
      <w:bookmarkStart w:id="30" w:name="_Toc478045313"/>
      <w:bookmarkStart w:id="31" w:name="_Toc134561907"/>
      <w:bookmarkStart w:id="32" w:name="_Toc134563667"/>
      <w:r w:rsidRPr="004E4AA7">
        <w:rPr>
          <w:rStyle w:val="Wyrnienieintensywne"/>
          <w:rFonts w:ascii="Times New Roman" w:hAnsi="Times New Roman"/>
          <w:i w:val="0"/>
          <w:iCs w:val="0"/>
          <w:color w:val="auto"/>
        </w:rPr>
        <w:t xml:space="preserve">3 </w:t>
      </w:r>
      <w:r w:rsidR="00A30967" w:rsidRPr="004E4AA7">
        <w:rPr>
          <w:rFonts w:ascii="Times New Roman" w:hAnsi="Times New Roman"/>
        </w:rPr>
        <w:t>Funkcjonalnoś</w:t>
      </w:r>
      <w:r w:rsidR="004B53D8" w:rsidRPr="004E4AA7">
        <w:rPr>
          <w:rFonts w:ascii="Times New Roman" w:hAnsi="Times New Roman"/>
        </w:rPr>
        <w:t>ci</w:t>
      </w:r>
      <w:r w:rsidR="00A30967" w:rsidRPr="004E4AA7">
        <w:rPr>
          <w:rFonts w:ascii="Times New Roman" w:hAnsi="Times New Roman"/>
        </w:rPr>
        <w:t xml:space="preserve"> </w:t>
      </w:r>
      <w:r w:rsidR="00486C28" w:rsidRPr="004E4AA7">
        <w:rPr>
          <w:rFonts w:ascii="Times New Roman" w:hAnsi="Times New Roman"/>
        </w:rPr>
        <w:t>S</w:t>
      </w:r>
      <w:r w:rsidR="00A30967" w:rsidRPr="004E4AA7">
        <w:rPr>
          <w:rFonts w:ascii="Times New Roman" w:hAnsi="Times New Roman"/>
        </w:rPr>
        <w:t>ystemu</w:t>
      </w:r>
      <w:bookmarkEnd w:id="28"/>
      <w:bookmarkEnd w:id="29"/>
      <w:bookmarkEnd w:id="30"/>
      <w:bookmarkEnd w:id="31"/>
      <w:bookmarkEnd w:id="32"/>
    </w:p>
    <w:p w14:paraId="15143B07" w14:textId="1931B2A8" w:rsidR="7E86A198" w:rsidRPr="004E4AA7" w:rsidRDefault="00A30967" w:rsidP="000D3B07">
      <w:pPr>
        <w:spacing w:before="120" w:after="120"/>
        <w:contextualSpacing/>
        <w:jc w:val="both"/>
        <w:rPr>
          <w:rFonts w:eastAsia="Calibri"/>
          <w:sz w:val="20"/>
          <w:szCs w:val="20"/>
          <w:lang w:eastAsia="en-US"/>
        </w:rPr>
      </w:pPr>
      <w:r w:rsidRPr="004E4AA7">
        <w:rPr>
          <w:rFonts w:eastAsia="Calibri"/>
          <w:sz w:val="20"/>
          <w:szCs w:val="20"/>
          <w:lang w:eastAsia="en-US"/>
        </w:rPr>
        <w:t xml:space="preserve">Funkcjonalności </w:t>
      </w:r>
      <w:r w:rsidR="68FAECE9" w:rsidRPr="004E4AA7">
        <w:rPr>
          <w:rFonts w:eastAsia="Calibri"/>
          <w:sz w:val="20"/>
          <w:szCs w:val="20"/>
          <w:lang w:eastAsia="en-US"/>
        </w:rPr>
        <w:t>systemu tel</w:t>
      </w:r>
      <w:r w:rsidR="005F1482" w:rsidRPr="004E4AA7">
        <w:rPr>
          <w:rFonts w:eastAsia="Calibri"/>
          <w:sz w:val="20"/>
          <w:szCs w:val="20"/>
          <w:lang w:eastAsia="en-US"/>
        </w:rPr>
        <w:t>e</w:t>
      </w:r>
      <w:r w:rsidR="68FAECE9" w:rsidRPr="004E4AA7">
        <w:rPr>
          <w:rFonts w:eastAsia="Calibri"/>
          <w:sz w:val="20"/>
          <w:szCs w:val="20"/>
          <w:lang w:eastAsia="en-US"/>
        </w:rPr>
        <w:t>informatycznego Krajowy Rejestr Zadłużonych m</w:t>
      </w:r>
      <w:r w:rsidRPr="004E4AA7">
        <w:rPr>
          <w:rFonts w:eastAsia="Calibri"/>
          <w:sz w:val="20"/>
          <w:szCs w:val="20"/>
          <w:lang w:eastAsia="en-US"/>
        </w:rPr>
        <w:t xml:space="preserve">ożna podzielić </w:t>
      </w:r>
      <w:r w:rsidR="008078B8" w:rsidRPr="004E4AA7">
        <w:rPr>
          <w:rFonts w:eastAsia="Calibri"/>
          <w:sz w:val="20"/>
          <w:szCs w:val="20"/>
          <w:lang w:eastAsia="en-US"/>
        </w:rPr>
        <w:t>z uwzględnieniem poszczególnych modułów systemu.</w:t>
      </w:r>
    </w:p>
    <w:p w14:paraId="229FA4E2" w14:textId="61854160" w:rsidR="008078B8" w:rsidRPr="004E4AA7" w:rsidRDefault="008078B8" w:rsidP="000D3B07">
      <w:pPr>
        <w:spacing w:before="120" w:after="120"/>
        <w:contextualSpacing/>
        <w:jc w:val="both"/>
        <w:rPr>
          <w:rFonts w:eastAsia="Calibri"/>
          <w:b/>
          <w:bCs/>
          <w:sz w:val="22"/>
          <w:szCs w:val="22"/>
          <w:lang w:eastAsia="en-US"/>
        </w:rPr>
      </w:pPr>
    </w:p>
    <w:p w14:paraId="60F6CB78" w14:textId="59A86AF0" w:rsidR="006252A4" w:rsidRPr="004E4AA7" w:rsidRDefault="000C2FEC" w:rsidP="004E4AA7">
      <w:pPr>
        <w:pStyle w:val="Nagwek3"/>
        <w:rPr>
          <w:rFonts w:eastAsia="Calibri"/>
          <w:b/>
          <w:bCs/>
          <w:i w:val="0"/>
          <w:iCs w:val="0"/>
          <w:sz w:val="22"/>
          <w:szCs w:val="22"/>
          <w:lang w:eastAsia="en-US"/>
        </w:rPr>
      </w:pPr>
      <w:bookmarkStart w:id="33" w:name="_Toc134563668"/>
      <w:r w:rsidRPr="004E4AA7">
        <w:rPr>
          <w:rFonts w:eastAsia="Calibri"/>
          <w:b/>
          <w:bCs/>
          <w:i w:val="0"/>
          <w:iCs w:val="0"/>
          <w:sz w:val="22"/>
          <w:szCs w:val="22"/>
          <w:lang w:eastAsia="en-US"/>
        </w:rPr>
        <w:t xml:space="preserve">3.1 </w:t>
      </w:r>
      <w:r w:rsidR="006252A4" w:rsidRPr="004E4AA7">
        <w:rPr>
          <w:rFonts w:eastAsia="Calibri"/>
          <w:b/>
          <w:bCs/>
          <w:i w:val="0"/>
          <w:iCs w:val="0"/>
          <w:sz w:val="22"/>
          <w:szCs w:val="22"/>
          <w:lang w:eastAsia="en-US"/>
        </w:rPr>
        <w:t>Portal Publiczny</w:t>
      </w:r>
      <w:bookmarkEnd w:id="33"/>
    </w:p>
    <w:p w14:paraId="07C4D905" w14:textId="77777777" w:rsidR="006420F8" w:rsidRPr="004E4AA7" w:rsidRDefault="006420F8" w:rsidP="000D3B07">
      <w:pPr>
        <w:spacing w:before="120" w:after="120"/>
        <w:ind w:left="426"/>
        <w:contextualSpacing/>
        <w:jc w:val="both"/>
        <w:rPr>
          <w:rFonts w:eastAsia="Calibri"/>
          <w:b/>
          <w:bCs/>
          <w:sz w:val="20"/>
          <w:szCs w:val="20"/>
          <w:lang w:eastAsia="en-US"/>
        </w:rPr>
      </w:pPr>
    </w:p>
    <w:p w14:paraId="25C63DA7" w14:textId="74F60EBE" w:rsidR="006420F8" w:rsidRPr="004E4AA7" w:rsidRDefault="00102D44"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Portal Publiczny </w:t>
      </w:r>
      <w:r w:rsidR="006420F8" w:rsidRPr="004E4AA7">
        <w:rPr>
          <w:rFonts w:eastAsia="Calibri"/>
          <w:sz w:val="20"/>
          <w:szCs w:val="20"/>
          <w:lang w:eastAsia="en-US"/>
        </w:rPr>
        <w:t>KRZ umożliwia dostęp do szerokiego zakresu danych o niewypłacalnych lub zagrożonych niewypłacalnością podmiotach lub osobach fizycznych, pogrupowanych merytorycznie w czterech widokach:</w:t>
      </w:r>
    </w:p>
    <w:p w14:paraId="07114114" w14:textId="77777777" w:rsidR="00102D44"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Wyszukiwanie podmiotów </w:t>
      </w:r>
      <w:r w:rsidR="00102D44" w:rsidRPr="004E4AA7">
        <w:rPr>
          <w:rFonts w:ascii="Times New Roman" w:eastAsia="Calibri" w:hAnsi="Times New Roman" w:cs="Times New Roman"/>
          <w:sz w:val="20"/>
          <w:szCs w:val="20"/>
        </w:rPr>
        <w:t>–</w:t>
      </w:r>
      <w:r w:rsidRPr="004E4AA7">
        <w:rPr>
          <w:rFonts w:ascii="Times New Roman" w:eastAsia="Calibri" w:hAnsi="Times New Roman" w:cs="Times New Roman"/>
          <w:sz w:val="20"/>
          <w:szCs w:val="20"/>
        </w:rPr>
        <w:t xml:space="preserve"> w postaci usystematyzowanej informacji o postępowaniach upadłościowych lub restrukturyzacyjnych, m.in. dane podmiotu, szczegóły postępowania, przebieg postępowania wraz z treścią obwieszczeń postanowień, zarządzeń, dokumentów, czy skład masy upadłości,</w:t>
      </w:r>
    </w:p>
    <w:p w14:paraId="0A1C282C" w14:textId="77777777" w:rsidR="00102D44"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Wyszukiwanie wspólników spółek osobowych – poprzez wskazanie wspólników osobowych spółek handlowych, którzy ponoszą odpowiedzialność za zobowiązania spółki bez ograniczenia całym swoim majątkiem, jeżeli ogłoszono upadłość spółki, wszczęto wtórne postępowanie upadłościowe wobec spółki lub oddalono wniosek o ogłoszenie upadłości spółki na podstawie art. 13 ust. 1 lub 2 ustawy z dnia 28 lutego 2003 r. - Prawo upadłościowe,</w:t>
      </w:r>
    </w:p>
    <w:p w14:paraId="72F1C7A7" w14:textId="77777777" w:rsidR="00102D44"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Wyszukiwanie składników masy upadłości – dzięki bogatej gamie kryteriów wyszukiwania umożliwia zainteresowanym zapoznanie się z danymi dotyczącymi składu masy upadłości podmiotów oraz z procesem jej likwidacji; aktualna informacja o składnikach majątku gotowych do sprzedaży zwiększa jej efektywność w postępowaniach upadłościowych,</w:t>
      </w:r>
    </w:p>
    <w:p w14:paraId="4CC6B313" w14:textId="77777777" w:rsidR="00102D44"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Tablica obwieszczeń - poprzez prezentację obwieszczeń postanowień, zarządzeń, dokumentów i informacji dotyczących postępowań restrukturyzacyjnych i upadłościowych pogrupowanych wg rodzaju postępowania i kategorii obwieszczenia.</w:t>
      </w:r>
    </w:p>
    <w:p w14:paraId="130CE4EB" w14:textId="77777777" w:rsidR="00102D44"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Wyszukiwanie doradców restrukturyzacyjnych </w:t>
      </w:r>
      <w:r w:rsidR="00102D44" w:rsidRPr="004E4AA7">
        <w:rPr>
          <w:rFonts w:ascii="Times New Roman" w:eastAsia="Calibri" w:hAnsi="Times New Roman" w:cs="Times New Roman"/>
          <w:sz w:val="20"/>
          <w:szCs w:val="20"/>
        </w:rPr>
        <w:t>–</w:t>
      </w:r>
      <w:r w:rsidRPr="004E4AA7">
        <w:rPr>
          <w:rFonts w:ascii="Times New Roman" w:eastAsia="Calibri" w:hAnsi="Times New Roman" w:cs="Times New Roman"/>
          <w:sz w:val="20"/>
          <w:szCs w:val="20"/>
        </w:rPr>
        <w:t xml:space="preserve"> umożliwia zapoznanie się z danymi osób posiadających licencję doradcy restrukturyzacyjnego wraz z sygnaturami postępowań restrukturyzacyjnych lub upadłościowych, w których uczestniczyli lub uczestniczą.</w:t>
      </w:r>
    </w:p>
    <w:p w14:paraId="2951558E" w14:textId="578F761A" w:rsidR="006420F8" w:rsidRPr="004E4AA7" w:rsidRDefault="006420F8">
      <w:pPr>
        <w:pStyle w:val="Akapitzlist"/>
        <w:numPr>
          <w:ilvl w:val="0"/>
          <w:numId w:val="3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Weryfikacja autentyczności dokumentu </w:t>
      </w:r>
      <w:r w:rsidR="00102D44" w:rsidRPr="004E4AA7">
        <w:rPr>
          <w:rFonts w:ascii="Times New Roman" w:eastAsia="Calibri" w:hAnsi="Times New Roman" w:cs="Times New Roman"/>
          <w:sz w:val="20"/>
          <w:szCs w:val="20"/>
        </w:rPr>
        <w:t>–</w:t>
      </w:r>
      <w:r w:rsidRPr="004E4AA7">
        <w:rPr>
          <w:rFonts w:ascii="Times New Roman" w:eastAsia="Calibri" w:hAnsi="Times New Roman" w:cs="Times New Roman"/>
          <w:sz w:val="20"/>
          <w:szCs w:val="20"/>
        </w:rPr>
        <w:t xml:space="preserve"> umożliwia weryfikację odpisu postanowienia, zarządzenia, projektu treści obwieszczenia, pouczenia oraz dokumentu.</w:t>
      </w:r>
    </w:p>
    <w:p w14:paraId="3D9B4980" w14:textId="2FFB45A9" w:rsidR="006420F8" w:rsidRPr="004E4AA7" w:rsidRDefault="006420F8"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Praca z aplikacją </w:t>
      </w:r>
      <w:r w:rsidR="00102D44" w:rsidRPr="004E4AA7">
        <w:rPr>
          <w:rFonts w:eastAsia="Calibri"/>
          <w:sz w:val="20"/>
          <w:szCs w:val="20"/>
          <w:lang w:eastAsia="en-US"/>
        </w:rPr>
        <w:t xml:space="preserve">Portal Publiczny </w:t>
      </w:r>
      <w:r w:rsidRPr="004E4AA7">
        <w:rPr>
          <w:rFonts w:eastAsia="Calibri"/>
          <w:sz w:val="20"/>
          <w:szCs w:val="20"/>
          <w:lang w:eastAsia="en-US"/>
        </w:rPr>
        <w:t xml:space="preserve">KRZ wymaga dostępu przez użytkownika do przeglądarki internetowej z włączoną obsługą plików cookies. Aplikacja </w:t>
      </w:r>
      <w:r w:rsidR="00102D44" w:rsidRPr="004E4AA7">
        <w:rPr>
          <w:rFonts w:eastAsia="Calibri"/>
          <w:sz w:val="20"/>
          <w:szCs w:val="20"/>
          <w:lang w:eastAsia="en-US"/>
        </w:rPr>
        <w:t xml:space="preserve">Portalu Publicznego </w:t>
      </w:r>
      <w:r w:rsidRPr="004E4AA7">
        <w:rPr>
          <w:rFonts w:eastAsia="Calibri"/>
          <w:sz w:val="20"/>
          <w:szCs w:val="20"/>
          <w:lang w:eastAsia="en-US"/>
        </w:rPr>
        <w:t xml:space="preserve">KRZ jest ogólnodostępna. Jej uruchomienie nie wymaga logowania użytkownika oraz posiadania dedykowanych ról lub uprawnień. Użytkownik po wpisaniu w przeglądarce internetowej adresu krz.ms.gov.pl przechodzi do strony głównej aplikacji </w:t>
      </w:r>
      <w:r w:rsidR="00102D44" w:rsidRPr="004E4AA7">
        <w:rPr>
          <w:rFonts w:eastAsia="Calibri"/>
          <w:sz w:val="20"/>
          <w:szCs w:val="20"/>
          <w:lang w:eastAsia="en-US"/>
        </w:rPr>
        <w:t xml:space="preserve">Portal Publiczny </w:t>
      </w:r>
      <w:r w:rsidRPr="004E4AA7">
        <w:rPr>
          <w:rFonts w:eastAsia="Calibri"/>
          <w:sz w:val="20"/>
          <w:szCs w:val="20"/>
          <w:lang w:eastAsia="en-US"/>
        </w:rPr>
        <w:t xml:space="preserve">KRZ. </w:t>
      </w:r>
    </w:p>
    <w:p w14:paraId="095F9150" w14:textId="77777777" w:rsidR="006420F8" w:rsidRPr="002B6859" w:rsidRDefault="006420F8" w:rsidP="002B6859">
      <w:pPr>
        <w:spacing w:before="120" w:after="120"/>
        <w:contextualSpacing/>
        <w:jc w:val="both"/>
        <w:rPr>
          <w:rFonts w:eastAsia="Calibri"/>
          <w:b/>
          <w:bCs/>
          <w:sz w:val="22"/>
          <w:szCs w:val="22"/>
          <w:lang w:eastAsia="en-US"/>
        </w:rPr>
      </w:pPr>
    </w:p>
    <w:p w14:paraId="1246C3B3" w14:textId="22FFD265" w:rsidR="00102D44" w:rsidRPr="00EB4940" w:rsidRDefault="000C2FEC" w:rsidP="00EB4940">
      <w:pPr>
        <w:pStyle w:val="Nagwek3"/>
        <w:rPr>
          <w:rFonts w:eastAsia="Calibri"/>
          <w:b/>
          <w:bCs/>
          <w:i w:val="0"/>
          <w:iCs w:val="0"/>
          <w:sz w:val="22"/>
          <w:szCs w:val="22"/>
          <w:lang w:eastAsia="en-US"/>
        </w:rPr>
      </w:pPr>
      <w:bookmarkStart w:id="34" w:name="_Toc134563669"/>
      <w:r w:rsidRPr="00EB4940">
        <w:rPr>
          <w:rFonts w:eastAsia="Calibri"/>
          <w:b/>
          <w:bCs/>
          <w:i w:val="0"/>
          <w:iCs w:val="0"/>
          <w:sz w:val="22"/>
          <w:szCs w:val="22"/>
          <w:lang w:eastAsia="en-US"/>
        </w:rPr>
        <w:t xml:space="preserve">3.2 </w:t>
      </w:r>
      <w:r w:rsidR="006252A4" w:rsidRPr="00EB4940">
        <w:rPr>
          <w:rFonts w:eastAsia="Calibri"/>
          <w:b/>
          <w:bCs/>
          <w:i w:val="0"/>
          <w:iCs w:val="0"/>
          <w:sz w:val="22"/>
          <w:szCs w:val="22"/>
          <w:lang w:eastAsia="en-US"/>
        </w:rPr>
        <w:t>Portal Użytkowników Zarejestrowanych</w:t>
      </w:r>
      <w:bookmarkEnd w:id="34"/>
    </w:p>
    <w:p w14:paraId="4B37282F" w14:textId="77777777" w:rsidR="002B6859" w:rsidRPr="002B6859" w:rsidRDefault="002B6859" w:rsidP="002B6859">
      <w:pPr>
        <w:spacing w:before="120" w:after="120"/>
        <w:contextualSpacing/>
        <w:jc w:val="both"/>
        <w:rPr>
          <w:rFonts w:eastAsia="Calibri"/>
          <w:b/>
          <w:bCs/>
          <w:sz w:val="22"/>
          <w:szCs w:val="22"/>
          <w:lang w:eastAsia="en-US"/>
        </w:rPr>
      </w:pPr>
    </w:p>
    <w:p w14:paraId="351B2AA7" w14:textId="7DFA609F" w:rsidR="00C651E7" w:rsidRPr="004E4AA7" w:rsidRDefault="00102D44"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Portal Użytkowników Zarejestrowanych </w:t>
      </w:r>
      <w:r w:rsidR="00882027" w:rsidRPr="004E4AA7">
        <w:rPr>
          <w:rFonts w:eastAsia="Calibri"/>
          <w:sz w:val="20"/>
          <w:szCs w:val="20"/>
          <w:lang w:eastAsia="en-US"/>
        </w:rPr>
        <w:t xml:space="preserve">KRZ umożliwia wnioskodawcy przygotowanie oraz złożenie wraz z załącznikami dokumentów do wybranego sądu rejonowego/okręgowego oraz do doradców </w:t>
      </w:r>
      <w:r w:rsidR="00882027" w:rsidRPr="004E4AA7">
        <w:rPr>
          <w:rFonts w:eastAsia="Calibri"/>
          <w:sz w:val="20"/>
          <w:szCs w:val="20"/>
          <w:lang w:eastAsia="en-US"/>
        </w:rPr>
        <w:lastRenderedPageBreak/>
        <w:t xml:space="preserve">restrukturyzacyjnych na każdym etapie postępowania. Praca z aplikacją </w:t>
      </w:r>
      <w:r w:rsidRPr="004E4AA7">
        <w:rPr>
          <w:rFonts w:eastAsia="Calibri"/>
          <w:sz w:val="20"/>
          <w:szCs w:val="20"/>
          <w:lang w:eastAsia="en-US"/>
        </w:rPr>
        <w:t xml:space="preserve">Portal Użytkowników Zarejestrowanych </w:t>
      </w:r>
      <w:r w:rsidR="00882027" w:rsidRPr="004E4AA7">
        <w:rPr>
          <w:rFonts w:eastAsia="Calibri"/>
          <w:sz w:val="20"/>
          <w:szCs w:val="20"/>
          <w:lang w:eastAsia="en-US"/>
        </w:rPr>
        <w:t xml:space="preserve">KRZ wymaga dostępu przez użytkownika do przeglądarki internetowej z włączoną obsługą plików cookies. </w:t>
      </w:r>
    </w:p>
    <w:p w14:paraId="0959ABCD" w14:textId="77777777" w:rsidR="00102D44" w:rsidRPr="004E4AA7" w:rsidRDefault="00102D44" w:rsidP="000D3B07">
      <w:pPr>
        <w:spacing w:before="120" w:after="120"/>
        <w:ind w:left="426"/>
        <w:contextualSpacing/>
        <w:jc w:val="both"/>
        <w:rPr>
          <w:rFonts w:eastAsia="Calibri"/>
          <w:sz w:val="20"/>
          <w:szCs w:val="20"/>
          <w:lang w:eastAsia="en-US"/>
        </w:rPr>
      </w:pPr>
    </w:p>
    <w:p w14:paraId="1C9B0911" w14:textId="29C2D463"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Użytkownik po zalogowaniu do aplikacji </w:t>
      </w:r>
      <w:r w:rsidR="00102D44" w:rsidRPr="004E4AA7">
        <w:rPr>
          <w:rFonts w:eastAsia="Calibri"/>
          <w:sz w:val="20"/>
          <w:szCs w:val="20"/>
          <w:lang w:eastAsia="en-US"/>
        </w:rPr>
        <w:t xml:space="preserve">Portal Użytkowników Zarejestrowanych </w:t>
      </w:r>
      <w:r w:rsidRPr="004E4AA7">
        <w:rPr>
          <w:rFonts w:eastAsia="Calibri"/>
          <w:sz w:val="20"/>
          <w:szCs w:val="20"/>
          <w:lang w:eastAsia="en-US"/>
        </w:rPr>
        <w:t>KRZ domyślnie posiada dwie podstawowe role: ROLE_TOZ_DOMYSLNY oraz ROLE_TOZ_ADMKONTA.</w:t>
      </w:r>
      <w:r w:rsidR="00C651E7" w:rsidRPr="004E4AA7">
        <w:rPr>
          <w:rFonts w:eastAsia="Calibri"/>
          <w:sz w:val="20"/>
          <w:szCs w:val="20"/>
          <w:lang w:eastAsia="en-US"/>
        </w:rPr>
        <w:t xml:space="preserve"> </w:t>
      </w:r>
      <w:r w:rsidRPr="004E4AA7">
        <w:rPr>
          <w:rFonts w:eastAsia="Calibri"/>
          <w:sz w:val="20"/>
          <w:szCs w:val="20"/>
          <w:lang w:eastAsia="en-US"/>
        </w:rPr>
        <w:t>Rola pierwsza wynika z posiadania przez Konto profilu „domyślnego” (TOZ_DOMYSLNY) i możliwości używania go przez zalogowaną osobę. Rola druga umożliwia użytkownikowi konta przeglądanie danych identyfikacyjnych. Rola wynika z posiadania przez Konto profilu administrowania kontem (TOZ_ADMKONTA) i możliwości używania go przez zalogowaną osobę (wskazania jej do administrowania kontem).</w:t>
      </w:r>
      <w:r w:rsidR="00C651E7" w:rsidRPr="004E4AA7">
        <w:rPr>
          <w:rFonts w:eastAsia="Calibri"/>
          <w:sz w:val="20"/>
          <w:szCs w:val="20"/>
          <w:lang w:eastAsia="en-US"/>
        </w:rPr>
        <w:t xml:space="preserve">  </w:t>
      </w:r>
      <w:r w:rsidRPr="004E4AA7">
        <w:rPr>
          <w:rFonts w:eastAsia="Calibri"/>
          <w:sz w:val="20"/>
          <w:szCs w:val="20"/>
          <w:lang w:eastAsia="en-US"/>
        </w:rPr>
        <w:t xml:space="preserve">Zapewnia użytkownikowi szersze zarządzanie kontem m.in. dodawanie predefiniowanych profili, dodawanie użytkowników do profili lub dodawanie Administratorów do swojego konta. W aplikacji </w:t>
      </w:r>
      <w:r w:rsidR="005A5534" w:rsidRPr="004E4AA7">
        <w:rPr>
          <w:rFonts w:eastAsia="Calibri"/>
          <w:sz w:val="20"/>
          <w:szCs w:val="20"/>
          <w:lang w:eastAsia="en-US"/>
        </w:rPr>
        <w:t xml:space="preserve">Portal Użytkowników Zarejestrowanych </w:t>
      </w:r>
      <w:r w:rsidRPr="004E4AA7">
        <w:rPr>
          <w:rFonts w:eastAsia="Calibri"/>
          <w:sz w:val="20"/>
          <w:szCs w:val="20"/>
          <w:lang w:eastAsia="en-US"/>
        </w:rPr>
        <w:t>rola użytkownika w postępowaniu nie jest rolą systemową. Użytkownik może występować w wielu rolach w różnych postępowaniach. Procedowane postępowanie wyznacza rolę za pomocą dokumentów sądowych, tj.: postanowienia i zarządzenia.</w:t>
      </w:r>
    </w:p>
    <w:p w14:paraId="02B78D7F" w14:textId="77777777" w:rsidR="00882027" w:rsidRPr="004E4AA7" w:rsidRDefault="00882027" w:rsidP="000D3B07">
      <w:pPr>
        <w:spacing w:before="120" w:after="120"/>
        <w:ind w:left="426"/>
        <w:contextualSpacing/>
        <w:jc w:val="both"/>
        <w:rPr>
          <w:rFonts w:eastAsia="Calibri"/>
          <w:sz w:val="20"/>
          <w:szCs w:val="20"/>
          <w:lang w:eastAsia="en-US"/>
        </w:rPr>
      </w:pPr>
    </w:p>
    <w:p w14:paraId="56BBFD14" w14:textId="5089C399" w:rsidR="00882027" w:rsidRPr="004E4AA7" w:rsidRDefault="00C651E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P</w:t>
      </w:r>
      <w:r w:rsidR="00882027" w:rsidRPr="004E4AA7">
        <w:rPr>
          <w:rFonts w:eastAsia="Calibri"/>
          <w:sz w:val="20"/>
          <w:szCs w:val="20"/>
          <w:lang w:eastAsia="en-US"/>
        </w:rPr>
        <w:t>rzykładowy wykaz ról zdefiniowanych w postępowaniach:</w:t>
      </w:r>
    </w:p>
    <w:p w14:paraId="3506A410"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ZDLUZ Dłużnik </w:t>
      </w:r>
    </w:p>
    <w:p w14:paraId="162C982C"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ZDOBR Pełnomocnik doradcy restrukturyzacyjnego </w:t>
      </w:r>
    </w:p>
    <w:p w14:paraId="0F04AEEF"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ZKURA Kurator w postępowaniu dłużnika </w:t>
      </w:r>
    </w:p>
    <w:p w14:paraId="41EE5C93"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ZKURO Kurator obligatariuszy </w:t>
      </w:r>
    </w:p>
    <w:p w14:paraId="052061E0"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ZIWNI Inny wnioskodawca </w:t>
      </w:r>
    </w:p>
    <w:p w14:paraId="235479F1"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ZPPDL Pełnomocnik dłużnika </w:t>
      </w:r>
    </w:p>
    <w:p w14:paraId="20156293"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ZPPWI Pełnomocnik wierzyciela </w:t>
      </w:r>
    </w:p>
    <w:p w14:paraId="38D67307"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ZPRDL Przedstawiciel ustawowy dłużnika </w:t>
      </w:r>
    </w:p>
    <w:p w14:paraId="4006551A"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ZPRWI Przedstawiciel ustawowy wierzyciela </w:t>
      </w:r>
    </w:p>
    <w:p w14:paraId="477AB6A0"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ZPRZE Osoba mająca wgląd do akt </w:t>
      </w:r>
    </w:p>
    <w:p w14:paraId="7061E4FC"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ZWDLU Wspólnik dłużnika </w:t>
      </w:r>
    </w:p>
    <w:p w14:paraId="2485A972" w14:textId="77777777" w:rsidR="00C651E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ZWIER Wierzyciel </w:t>
      </w:r>
    </w:p>
    <w:p w14:paraId="04E8CE19" w14:textId="769A9CFE"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ZWWIE Wspólnik wierzyciela</w:t>
      </w:r>
    </w:p>
    <w:p w14:paraId="723759CA" w14:textId="77777777" w:rsidR="00882027" w:rsidRPr="004E4AA7" w:rsidRDefault="00882027" w:rsidP="000D3B07">
      <w:pPr>
        <w:spacing w:before="120" w:after="120"/>
        <w:ind w:left="426"/>
        <w:contextualSpacing/>
        <w:jc w:val="both"/>
        <w:rPr>
          <w:rFonts w:eastAsia="Calibri"/>
          <w:sz w:val="20"/>
          <w:szCs w:val="20"/>
          <w:lang w:eastAsia="en-US"/>
        </w:rPr>
      </w:pPr>
    </w:p>
    <w:p w14:paraId="53899350" w14:textId="682B6E0C"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Korzystanie z aplikacji </w:t>
      </w:r>
      <w:r w:rsidR="005A5534" w:rsidRPr="004E4AA7">
        <w:rPr>
          <w:rFonts w:eastAsia="Calibri"/>
          <w:sz w:val="20"/>
          <w:szCs w:val="20"/>
          <w:lang w:eastAsia="en-US"/>
        </w:rPr>
        <w:t xml:space="preserve">Portal Użytkowników Zarejestrowanych </w:t>
      </w:r>
      <w:r w:rsidRPr="004E4AA7">
        <w:rPr>
          <w:rFonts w:eastAsia="Calibri"/>
          <w:sz w:val="20"/>
          <w:szCs w:val="20"/>
          <w:lang w:eastAsia="en-US"/>
        </w:rPr>
        <w:t xml:space="preserve">KRZ jest możliwe po zalogowaniu się użytkownika </w:t>
      </w:r>
      <w:r w:rsidR="005A5534" w:rsidRPr="004E4AA7">
        <w:rPr>
          <w:rFonts w:eastAsia="Calibri"/>
          <w:sz w:val="20"/>
          <w:szCs w:val="20"/>
          <w:lang w:eastAsia="en-US"/>
        </w:rPr>
        <w:t>poprzez system Tożsamość</w:t>
      </w:r>
      <w:r w:rsidRPr="004E4AA7">
        <w:rPr>
          <w:rFonts w:eastAsia="Calibri"/>
          <w:sz w:val="20"/>
          <w:szCs w:val="20"/>
          <w:lang w:eastAsia="en-US"/>
        </w:rPr>
        <w:t xml:space="preserve">. </w:t>
      </w:r>
    </w:p>
    <w:p w14:paraId="5FE541DF" w14:textId="77777777" w:rsidR="00882027" w:rsidRPr="004E4AA7" w:rsidRDefault="00882027" w:rsidP="000D3B07">
      <w:pPr>
        <w:spacing w:before="120" w:after="120"/>
        <w:ind w:left="426"/>
        <w:contextualSpacing/>
        <w:jc w:val="both"/>
        <w:rPr>
          <w:rFonts w:eastAsia="Calibri"/>
          <w:sz w:val="20"/>
          <w:szCs w:val="20"/>
          <w:lang w:eastAsia="en-US"/>
        </w:rPr>
      </w:pPr>
    </w:p>
    <w:p w14:paraId="05A68C21" w14:textId="5A43E9C5"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Użytkownik posiada możliwość filtrowania danych wyświetlonych na ekranie poprzez użycie funkcji Filtrowanie, która pozwala wyszukać informacje dla wprowadzonych kryteriów wyszukiwania. Po wprowadzeniu kryteriów naciśnij przycisk Filtruj, aby włączyć filtr lub Wyczyść, aby usunąć zdefiniowany wcześniej filtr.</w:t>
      </w:r>
      <w:r w:rsidR="001524E1" w:rsidRPr="004E4AA7">
        <w:rPr>
          <w:rFonts w:eastAsia="Calibri"/>
          <w:sz w:val="20"/>
          <w:szCs w:val="20"/>
          <w:lang w:eastAsia="en-US"/>
        </w:rPr>
        <w:t xml:space="preserve"> </w:t>
      </w:r>
      <w:r w:rsidRPr="004E4AA7">
        <w:rPr>
          <w:rFonts w:eastAsia="Calibri"/>
          <w:sz w:val="20"/>
          <w:szCs w:val="20"/>
          <w:lang w:eastAsia="en-US"/>
        </w:rPr>
        <w:t>Możliwe jest filtrowanie przesyłek Odebranych, W opracowaniu oraz Wysłanych. Dostępne kryteria filtrowania:</w:t>
      </w:r>
      <w:r w:rsidR="001524E1" w:rsidRPr="004E4AA7">
        <w:rPr>
          <w:rFonts w:eastAsia="Calibri"/>
          <w:sz w:val="20"/>
          <w:szCs w:val="20"/>
          <w:lang w:eastAsia="en-US"/>
        </w:rPr>
        <w:t xml:space="preserve"> </w:t>
      </w:r>
      <w:r w:rsidRPr="004E4AA7">
        <w:rPr>
          <w:rFonts w:eastAsia="Calibri"/>
          <w:sz w:val="20"/>
          <w:szCs w:val="20"/>
          <w:lang w:eastAsia="en-US"/>
        </w:rPr>
        <w:t>Profil,</w:t>
      </w:r>
      <w:r w:rsidR="001524E1" w:rsidRPr="004E4AA7">
        <w:rPr>
          <w:rFonts w:eastAsia="Calibri"/>
          <w:sz w:val="20"/>
          <w:szCs w:val="20"/>
          <w:lang w:eastAsia="en-US"/>
        </w:rPr>
        <w:t xml:space="preserve"> </w:t>
      </w:r>
      <w:r w:rsidRPr="004E4AA7">
        <w:rPr>
          <w:rFonts w:eastAsia="Calibri"/>
          <w:sz w:val="20"/>
          <w:szCs w:val="20"/>
          <w:lang w:eastAsia="en-US"/>
        </w:rPr>
        <w:t>Sygnatura,</w:t>
      </w:r>
      <w:r w:rsidR="001524E1" w:rsidRPr="004E4AA7">
        <w:rPr>
          <w:rFonts w:eastAsia="Calibri"/>
          <w:sz w:val="20"/>
          <w:szCs w:val="20"/>
          <w:lang w:eastAsia="en-US"/>
        </w:rPr>
        <w:t xml:space="preserve"> </w:t>
      </w:r>
      <w:r w:rsidRPr="004E4AA7">
        <w:rPr>
          <w:rFonts w:eastAsia="Calibri"/>
          <w:sz w:val="20"/>
          <w:szCs w:val="20"/>
          <w:lang w:eastAsia="en-US"/>
        </w:rPr>
        <w:t>Znak pisma,</w:t>
      </w:r>
      <w:r w:rsidR="001524E1" w:rsidRPr="004E4AA7">
        <w:rPr>
          <w:rFonts w:eastAsia="Calibri"/>
          <w:sz w:val="20"/>
          <w:szCs w:val="20"/>
          <w:lang w:eastAsia="en-US"/>
        </w:rPr>
        <w:t xml:space="preserve"> </w:t>
      </w:r>
      <w:r w:rsidRPr="004E4AA7">
        <w:rPr>
          <w:rFonts w:eastAsia="Calibri"/>
          <w:sz w:val="20"/>
          <w:szCs w:val="20"/>
          <w:lang w:eastAsia="en-US"/>
        </w:rPr>
        <w:t>Nadawca (Odebrane) / Adresat (W opracowaniu / Wysłane),</w:t>
      </w:r>
      <w:r w:rsidR="001524E1" w:rsidRPr="004E4AA7">
        <w:rPr>
          <w:rFonts w:eastAsia="Calibri"/>
          <w:sz w:val="20"/>
          <w:szCs w:val="20"/>
          <w:lang w:eastAsia="en-US"/>
        </w:rPr>
        <w:t xml:space="preserve"> </w:t>
      </w:r>
      <w:r w:rsidRPr="004E4AA7">
        <w:rPr>
          <w:rFonts w:eastAsia="Calibri"/>
          <w:sz w:val="20"/>
          <w:szCs w:val="20"/>
          <w:lang w:eastAsia="en-US"/>
        </w:rPr>
        <w:t>Tytuł przesyłki,</w:t>
      </w:r>
      <w:r w:rsidR="001524E1" w:rsidRPr="004E4AA7">
        <w:rPr>
          <w:rFonts w:eastAsia="Calibri"/>
          <w:sz w:val="20"/>
          <w:szCs w:val="20"/>
          <w:lang w:eastAsia="en-US"/>
        </w:rPr>
        <w:t xml:space="preserve"> </w:t>
      </w:r>
      <w:r w:rsidRPr="004E4AA7">
        <w:rPr>
          <w:rFonts w:eastAsia="Calibri"/>
          <w:sz w:val="20"/>
          <w:szCs w:val="20"/>
          <w:lang w:eastAsia="en-US"/>
        </w:rPr>
        <w:t>Dane opisowe przesyłki,</w:t>
      </w:r>
      <w:r w:rsidR="001524E1" w:rsidRPr="004E4AA7">
        <w:rPr>
          <w:rFonts w:eastAsia="Calibri"/>
          <w:sz w:val="20"/>
          <w:szCs w:val="20"/>
          <w:lang w:eastAsia="en-US"/>
        </w:rPr>
        <w:t xml:space="preserve"> </w:t>
      </w:r>
      <w:r w:rsidRPr="004E4AA7">
        <w:rPr>
          <w:rFonts w:eastAsia="Calibri"/>
          <w:sz w:val="20"/>
          <w:szCs w:val="20"/>
          <w:lang w:eastAsia="en-US"/>
        </w:rPr>
        <w:t>Data wpłynięcia / Data zapisania / Data nadania.</w:t>
      </w:r>
    </w:p>
    <w:p w14:paraId="615A7A7E" w14:textId="77777777" w:rsidR="00882027" w:rsidRPr="004E4AA7" w:rsidRDefault="00882027" w:rsidP="000D3B07">
      <w:pPr>
        <w:spacing w:before="120" w:after="120"/>
        <w:ind w:left="426"/>
        <w:contextualSpacing/>
        <w:jc w:val="both"/>
        <w:rPr>
          <w:rFonts w:eastAsia="Calibri"/>
          <w:sz w:val="20"/>
          <w:szCs w:val="20"/>
          <w:lang w:eastAsia="en-US"/>
        </w:rPr>
      </w:pPr>
    </w:p>
    <w:p w14:paraId="671A2FED" w14:textId="77777777"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Poprawność wypełnienia pól we wniosku lub piśmie jest oznaczona poprzez kolor konturu pola, a szczegółowe informacje są prezentowane w obszarze komunikatów i opcji dodatkowych okna aplikacji. Wyróżniamy trzy rodzaje pól:</w:t>
      </w:r>
    </w:p>
    <w:p w14:paraId="27723349" w14:textId="77777777" w:rsidR="005A5534" w:rsidRPr="004E4AA7" w:rsidRDefault="00882027">
      <w:pPr>
        <w:pStyle w:val="Akapitzlist"/>
        <w:numPr>
          <w:ilvl w:val="0"/>
          <w:numId w:val="45"/>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opcjonalne nie wymagają wypełnienia i nie są obramowywane żadnym kolorem. Szczegółowe informacje dotyczące pól pojawiają się w obszarze komunikatów i oznaczane są kolorem niebieskim.</w:t>
      </w:r>
    </w:p>
    <w:p w14:paraId="7492117B" w14:textId="77777777" w:rsidR="005A5534" w:rsidRPr="004E4AA7" w:rsidRDefault="00882027">
      <w:pPr>
        <w:pStyle w:val="Akapitzlist"/>
        <w:numPr>
          <w:ilvl w:val="0"/>
          <w:numId w:val="45"/>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 celu wysłania wniosku wypełnienie pól wymaganych jest konieczne. W przypadku braku wymaganej treści pola zostaną obramowane kolorem czerwonym.</w:t>
      </w:r>
    </w:p>
    <w:p w14:paraId="2F40A49C" w14:textId="321BEE4F" w:rsidR="00882027" w:rsidRPr="004E4AA7" w:rsidRDefault="00882027">
      <w:pPr>
        <w:pStyle w:val="Akapitzlist"/>
        <w:numPr>
          <w:ilvl w:val="0"/>
          <w:numId w:val="45"/>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 celu wysłania wniosku wypełnienie pól zalecanych nie jest konieczne. W przypadku braku zalecanej treści, pola zostaną obramowane kolorem brązowym.</w:t>
      </w:r>
    </w:p>
    <w:p w14:paraId="5DF7C5BE" w14:textId="77777777" w:rsidR="00882027" w:rsidRPr="004E4AA7" w:rsidRDefault="00882027" w:rsidP="000D3B07">
      <w:pPr>
        <w:spacing w:before="120" w:after="120"/>
        <w:ind w:left="426"/>
        <w:contextualSpacing/>
        <w:jc w:val="both"/>
        <w:rPr>
          <w:rFonts w:eastAsia="Calibri"/>
          <w:sz w:val="20"/>
          <w:szCs w:val="20"/>
          <w:lang w:eastAsia="en-US"/>
        </w:rPr>
      </w:pPr>
    </w:p>
    <w:p w14:paraId="0569F866" w14:textId="77777777" w:rsidR="00882027" w:rsidRPr="004E4AA7" w:rsidRDefault="00882027"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W zależności od metryki dostępne są standardowe typy pól do wypełnienia oraz nowe grupy obiektów, których wprowadzenie wymaga większej interakcji od wnioskującego.</w:t>
      </w:r>
    </w:p>
    <w:p w14:paraId="605FBB3C" w14:textId="539ED060" w:rsidR="006420F8" w:rsidRPr="00EB4940" w:rsidRDefault="006420F8" w:rsidP="00EB4940">
      <w:pPr>
        <w:pStyle w:val="Nagwek3"/>
        <w:rPr>
          <w:rFonts w:eastAsia="Calibri"/>
          <w:b/>
          <w:bCs/>
          <w:i w:val="0"/>
          <w:iCs w:val="0"/>
          <w:lang w:eastAsia="en-US"/>
        </w:rPr>
      </w:pPr>
    </w:p>
    <w:p w14:paraId="5889BED5" w14:textId="27C55C23" w:rsidR="006252A4" w:rsidRPr="00EB4940" w:rsidRDefault="000C2FEC" w:rsidP="00EB4940">
      <w:pPr>
        <w:pStyle w:val="Nagwek3"/>
        <w:rPr>
          <w:rFonts w:eastAsia="Calibri"/>
          <w:b/>
          <w:bCs/>
          <w:i w:val="0"/>
          <w:iCs w:val="0"/>
          <w:sz w:val="22"/>
          <w:szCs w:val="22"/>
          <w:lang w:eastAsia="en-US"/>
        </w:rPr>
      </w:pPr>
      <w:bookmarkStart w:id="35" w:name="_Toc134563670"/>
      <w:r w:rsidRPr="00EB4940">
        <w:rPr>
          <w:rFonts w:eastAsia="Calibri"/>
          <w:b/>
          <w:bCs/>
          <w:i w:val="0"/>
          <w:iCs w:val="0"/>
          <w:sz w:val="22"/>
          <w:szCs w:val="22"/>
          <w:lang w:eastAsia="en-US"/>
        </w:rPr>
        <w:t xml:space="preserve">3.3 </w:t>
      </w:r>
      <w:r w:rsidR="006252A4" w:rsidRPr="00EB4940">
        <w:rPr>
          <w:rFonts w:eastAsia="Calibri"/>
          <w:b/>
          <w:bCs/>
          <w:i w:val="0"/>
          <w:iCs w:val="0"/>
          <w:sz w:val="22"/>
          <w:szCs w:val="22"/>
          <w:lang w:eastAsia="en-US"/>
        </w:rPr>
        <w:t>Portal Sądowy</w:t>
      </w:r>
      <w:bookmarkEnd w:id="35"/>
    </w:p>
    <w:p w14:paraId="05BC8B98" w14:textId="2D43FE44" w:rsidR="004D2F7B" w:rsidRPr="004E4AA7" w:rsidRDefault="004D2F7B" w:rsidP="000D3B07">
      <w:pPr>
        <w:spacing w:before="120" w:after="120"/>
        <w:ind w:left="426"/>
        <w:contextualSpacing/>
        <w:jc w:val="both"/>
        <w:rPr>
          <w:rFonts w:eastAsia="Calibri"/>
          <w:b/>
          <w:bCs/>
          <w:sz w:val="20"/>
          <w:szCs w:val="20"/>
          <w:lang w:eastAsia="en-US"/>
        </w:rPr>
      </w:pPr>
    </w:p>
    <w:p w14:paraId="083BFE7F" w14:textId="326A614C" w:rsidR="004D2F7B" w:rsidRPr="004E4AA7" w:rsidRDefault="005A5534"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Portal Sądowy </w:t>
      </w:r>
      <w:r w:rsidR="004D2F7B" w:rsidRPr="004E4AA7">
        <w:rPr>
          <w:rFonts w:eastAsia="Calibri"/>
          <w:sz w:val="20"/>
          <w:szCs w:val="20"/>
          <w:lang w:eastAsia="en-US"/>
        </w:rPr>
        <w:t xml:space="preserve">KRZ umożliwia użytkownikowi opracowywanie dokumentów sądowych, wyświetlenie listy postępowań, do których użytkownik jest przypisany oraz obsługę akt postępowań. </w:t>
      </w:r>
      <w:r w:rsidR="002F3DE7" w:rsidRPr="004E4AA7">
        <w:rPr>
          <w:rFonts w:eastAsia="Calibri"/>
          <w:sz w:val="20"/>
          <w:szCs w:val="20"/>
          <w:lang w:eastAsia="en-US"/>
        </w:rPr>
        <w:t xml:space="preserve">Użytkownicy logują się </w:t>
      </w:r>
      <w:r w:rsidR="002F3DE7" w:rsidRPr="004E4AA7">
        <w:rPr>
          <w:rFonts w:eastAsia="Calibri"/>
          <w:sz w:val="20"/>
          <w:szCs w:val="20"/>
          <w:lang w:eastAsia="en-US"/>
        </w:rPr>
        <w:lastRenderedPageBreak/>
        <w:t xml:space="preserve">do systemu poprzez AD, nie potrzebują odrębnych kont. </w:t>
      </w:r>
      <w:r w:rsidR="004D2F7B" w:rsidRPr="004E4AA7">
        <w:rPr>
          <w:rFonts w:eastAsia="Calibri"/>
          <w:sz w:val="20"/>
          <w:szCs w:val="20"/>
          <w:lang w:eastAsia="en-US"/>
        </w:rPr>
        <w:t>Aplikacja PORTAL SĄDOWY KRZ wykorzystuje role, które określają dostępność użytkowników do funkcjonalności aplikacji:</w:t>
      </w:r>
    </w:p>
    <w:p w14:paraId="6E38FF46" w14:textId="77777777" w:rsidR="004D2F7B" w:rsidRPr="004E4AA7" w:rsidRDefault="004D2F7B">
      <w:pPr>
        <w:pStyle w:val="Akapitzlist"/>
        <w:numPr>
          <w:ilvl w:val="0"/>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KRZ_SPR_PRAC </w:t>
      </w:r>
      <w:r w:rsidRPr="004E4AA7">
        <w:rPr>
          <w:rFonts w:ascii="Times New Roman" w:eastAsia="Calibri" w:hAnsi="Times New Roman" w:cs="Times New Roman"/>
          <w:sz w:val="20"/>
          <w:szCs w:val="20"/>
        </w:rPr>
        <w:tab/>
        <w:t xml:space="preserve">Uprawnienie podstawowe zapewniające dostęp do aplikacji PORTAL SĄDOWY. W celu uzyskania dostępu do aplikacji konieczne jest wysłanie wniosku przez Kierownika Sądu. </w:t>
      </w:r>
    </w:p>
    <w:p w14:paraId="1BA61E3D" w14:textId="7A9EA0B4" w:rsidR="004D2F7B" w:rsidRPr="004E4AA7" w:rsidRDefault="004D2F7B">
      <w:pPr>
        <w:pStyle w:val="Akapitzlist"/>
        <w:numPr>
          <w:ilvl w:val="0"/>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KRZ_LIZA_ZAD_KIER</w:t>
      </w:r>
      <w:r w:rsidR="002F3DE7" w:rsidRPr="004E4AA7">
        <w:rPr>
          <w:rFonts w:ascii="Times New Roman" w:eastAsia="Calibri" w:hAnsi="Times New Roman" w:cs="Times New Roman"/>
          <w:sz w:val="20"/>
          <w:szCs w:val="20"/>
        </w:rPr>
        <w:t xml:space="preserve"> </w:t>
      </w:r>
      <w:r w:rsidRPr="004E4AA7">
        <w:rPr>
          <w:rFonts w:ascii="Times New Roman" w:eastAsia="Calibri" w:hAnsi="Times New Roman" w:cs="Times New Roman"/>
          <w:sz w:val="20"/>
          <w:szCs w:val="20"/>
        </w:rPr>
        <w:t>Uprawnienie dodatkowe pozwalające na dostęp do czynności Portalu Sądowego – Zadania w wydziale -&gt; Zadania przewodniczącego wydziału oraz Zadania wydziału.</w:t>
      </w:r>
    </w:p>
    <w:p w14:paraId="4EE2C846" w14:textId="29143BEF" w:rsidR="004D2F7B" w:rsidRPr="004E4AA7" w:rsidRDefault="004D2F7B">
      <w:pPr>
        <w:pStyle w:val="Akapitzlist"/>
        <w:numPr>
          <w:ilvl w:val="0"/>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KRZ_LIZA_ZAD_SEK</w:t>
      </w:r>
      <w:r w:rsidR="002F3DE7" w:rsidRPr="004E4AA7">
        <w:rPr>
          <w:rFonts w:ascii="Times New Roman" w:eastAsia="Calibri" w:hAnsi="Times New Roman" w:cs="Times New Roman"/>
          <w:sz w:val="20"/>
          <w:szCs w:val="20"/>
        </w:rPr>
        <w:t xml:space="preserve"> </w:t>
      </w:r>
      <w:r w:rsidRPr="004E4AA7">
        <w:rPr>
          <w:rFonts w:ascii="Times New Roman" w:eastAsia="Calibri" w:hAnsi="Times New Roman" w:cs="Times New Roman"/>
          <w:sz w:val="20"/>
          <w:szCs w:val="20"/>
        </w:rPr>
        <w:t>Uprawnienie dodatkowe pozwalające na dostęp do czynności Portalu Sądowego – Zadania w wydziale -&gt; Zadania sekretariatu.</w:t>
      </w:r>
    </w:p>
    <w:p w14:paraId="6D2A1585" w14:textId="69310F8F" w:rsidR="004D2F7B" w:rsidRPr="004E4AA7" w:rsidRDefault="004D2F7B">
      <w:pPr>
        <w:pStyle w:val="Akapitzlist"/>
        <w:numPr>
          <w:ilvl w:val="0"/>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KRZ_SPR_NADZOR</w:t>
      </w:r>
      <w:r w:rsidR="002F3DE7" w:rsidRPr="004E4AA7">
        <w:rPr>
          <w:rFonts w:ascii="Times New Roman" w:eastAsia="Calibri" w:hAnsi="Times New Roman" w:cs="Times New Roman"/>
          <w:sz w:val="20"/>
          <w:szCs w:val="20"/>
        </w:rPr>
        <w:t xml:space="preserve"> </w:t>
      </w:r>
      <w:r w:rsidRPr="004E4AA7">
        <w:rPr>
          <w:rFonts w:ascii="Times New Roman" w:eastAsia="Calibri" w:hAnsi="Times New Roman" w:cs="Times New Roman"/>
          <w:sz w:val="20"/>
          <w:szCs w:val="20"/>
        </w:rPr>
        <w:t>Uprawnienie dla służb nadzoru pozwalające na dostęp do podstawowych czynności Portalu Sądowego oraz funkcji Wyszukiwanie postępowań w KRZ.</w:t>
      </w:r>
    </w:p>
    <w:p w14:paraId="02888555" w14:textId="77777777" w:rsidR="004D2F7B" w:rsidRPr="004E4AA7" w:rsidRDefault="004D2F7B">
      <w:pPr>
        <w:pStyle w:val="Akapitzlist"/>
        <w:numPr>
          <w:ilvl w:val="0"/>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KRZ_SPR_SADY</w:t>
      </w:r>
      <w:r w:rsidRPr="004E4AA7">
        <w:rPr>
          <w:rFonts w:ascii="Times New Roman" w:eastAsia="Calibri" w:hAnsi="Times New Roman" w:cs="Times New Roman"/>
          <w:sz w:val="20"/>
          <w:szCs w:val="20"/>
        </w:rPr>
        <w:tab/>
        <w:t>Uprawnienie dla pracowników Sądów spoza Wydziałów gospodarczych pozwala na dostęp do podstawowych czynności Portalu Sądowego.</w:t>
      </w:r>
    </w:p>
    <w:p w14:paraId="3CD80C0B" w14:textId="77777777" w:rsidR="004D2F7B" w:rsidRPr="004E4AA7" w:rsidRDefault="004D2F7B" w:rsidP="000D3B07">
      <w:pPr>
        <w:spacing w:before="120" w:after="120"/>
        <w:ind w:left="426"/>
        <w:contextualSpacing/>
        <w:jc w:val="both"/>
        <w:rPr>
          <w:rFonts w:eastAsia="Calibri"/>
          <w:sz w:val="20"/>
          <w:szCs w:val="20"/>
          <w:lang w:eastAsia="en-US"/>
        </w:rPr>
      </w:pPr>
    </w:p>
    <w:p w14:paraId="31A27C7E" w14:textId="7777777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Aplikacja została wyposażona w trzy rodzaje pól do wypełnienia różniące się sposobem umieszczania w nich informacji: </w:t>
      </w:r>
    </w:p>
    <w:p w14:paraId="418EC8D0" w14:textId="3BDB0DBD"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opisowe, w których informacje wpisuje się ręcznie</w:t>
      </w:r>
      <w:r w:rsidR="00C048CA" w:rsidRPr="004E4AA7">
        <w:rPr>
          <w:rFonts w:ascii="Times New Roman" w:eastAsia="Calibri" w:hAnsi="Times New Roman" w:cs="Times New Roman"/>
          <w:sz w:val="20"/>
          <w:szCs w:val="20"/>
        </w:rPr>
        <w:t>,</w:t>
      </w:r>
      <w:r w:rsidRPr="004E4AA7">
        <w:rPr>
          <w:rFonts w:ascii="Times New Roman" w:eastAsia="Calibri" w:hAnsi="Times New Roman" w:cs="Times New Roman"/>
          <w:sz w:val="20"/>
          <w:szCs w:val="20"/>
        </w:rPr>
        <w:t xml:space="preserve"> np. kryteria filtrowania</w:t>
      </w:r>
    </w:p>
    <w:p w14:paraId="793C3BDA" w14:textId="5DAAD158"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opcji</w:t>
      </w:r>
    </w:p>
    <w:p w14:paraId="16D11934" w14:textId="7D2DF3F5"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wyboru, w których należy wyznaczyć wybrany element</w:t>
      </w:r>
    </w:p>
    <w:p w14:paraId="23E4C21A" w14:textId="66F4F9C9"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sugerujące listę opcji kompatybilnych z wprowadzonymi kryteriami</w:t>
      </w:r>
    </w:p>
    <w:p w14:paraId="0CE0470E" w14:textId="5F1F708E"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wyznaczenia z wyszukiwarką</w:t>
      </w:r>
    </w:p>
    <w:p w14:paraId="11552644" w14:textId="542DDDF0"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z możliwością formatowania wprowadzanego tekstu</w:t>
      </w:r>
    </w:p>
    <w:p w14:paraId="4DFC8296" w14:textId="7EA81EAB"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słownikowe, w których informacje umieszcza się poprzez rozwinięcie listy i wybór z niej jednej pozycji</w:t>
      </w:r>
    </w:p>
    <w:p w14:paraId="5D5D719B" w14:textId="12AD8833"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zmiany wyznaczenia</w:t>
      </w:r>
    </w:p>
    <w:p w14:paraId="48C40F1D" w14:textId="264ECC98"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z ikonką kalendarza, tj. wszystkie te pola, które wymagają umieszczenia daty. Umożliwiają one wpisanie wartości w określonym formacie DD.MM.RRRR lub wybranie z listy rozwijanej poprzez użycie ikony, np. Data utworzenia</w:t>
      </w:r>
    </w:p>
    <w:p w14:paraId="031B1202" w14:textId="380BA24F"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Menu podręczne to panel umożliwiający dodatkowe akcje dla danego dokumentu w Dokumentach roboczych</w:t>
      </w:r>
    </w:p>
    <w:p w14:paraId="2329A56B" w14:textId="72F9EC3F"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Ikona zwinięcia/rozwinięcia kolumny filtrowania</w:t>
      </w:r>
    </w:p>
    <w:p w14:paraId="0FBBC21B" w14:textId="49DCDCC0" w:rsidR="004D2F7B" w:rsidRPr="004E4AA7" w:rsidRDefault="004D2F7B">
      <w:pPr>
        <w:pStyle w:val="Akapitzlist"/>
        <w:numPr>
          <w:ilvl w:val="0"/>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Aplikacja potwierdza wykonanie wybranych czynności przez wyświetlenie:</w:t>
      </w:r>
    </w:p>
    <w:p w14:paraId="6232EE81" w14:textId="080CCC82" w:rsidR="004D2F7B" w:rsidRPr="004E4AA7" w:rsidRDefault="004D2F7B">
      <w:pPr>
        <w:pStyle w:val="Akapitzlist"/>
        <w:numPr>
          <w:ilvl w:val="0"/>
          <w:numId w:val="48"/>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okien wymagających potwierdzenia</w:t>
      </w:r>
    </w:p>
    <w:p w14:paraId="5AB030B8" w14:textId="129F65B0" w:rsidR="004D2F7B" w:rsidRPr="004E4AA7" w:rsidRDefault="004D2F7B">
      <w:pPr>
        <w:pStyle w:val="Akapitzlist"/>
        <w:numPr>
          <w:ilvl w:val="0"/>
          <w:numId w:val="48"/>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komunikatu</w:t>
      </w:r>
    </w:p>
    <w:p w14:paraId="5F1610D2" w14:textId="6E0E5A36" w:rsidR="004D2F7B" w:rsidRPr="004E4AA7" w:rsidRDefault="004D2F7B">
      <w:pPr>
        <w:pStyle w:val="Akapitzlist"/>
        <w:numPr>
          <w:ilvl w:val="0"/>
          <w:numId w:val="48"/>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wiadomości systemowej pozytywnej</w:t>
      </w:r>
    </w:p>
    <w:p w14:paraId="158C7A7A" w14:textId="37A7B24B" w:rsidR="004D2F7B" w:rsidRPr="004E4AA7" w:rsidRDefault="004D2F7B">
      <w:pPr>
        <w:pStyle w:val="Akapitzlist"/>
        <w:numPr>
          <w:ilvl w:val="0"/>
          <w:numId w:val="48"/>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wiadomości systemowej negatywnej</w:t>
      </w:r>
    </w:p>
    <w:p w14:paraId="4E654FA8" w14:textId="77777777" w:rsidR="004D2F7B" w:rsidRPr="004E4AA7" w:rsidRDefault="004D2F7B" w:rsidP="000D3B07">
      <w:pPr>
        <w:spacing w:before="120" w:after="120"/>
        <w:ind w:left="426"/>
        <w:contextualSpacing/>
        <w:jc w:val="both"/>
        <w:rPr>
          <w:rFonts w:eastAsia="Calibri"/>
          <w:sz w:val="20"/>
          <w:szCs w:val="20"/>
          <w:lang w:eastAsia="en-US"/>
        </w:rPr>
      </w:pPr>
    </w:p>
    <w:p w14:paraId="346011C6" w14:textId="383F8316"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Dodatkowo w obszarze Zadania w toku użytkownik może wyświetlić zadania wg terminu lub statusu wybierając predefiniowane Opcje.</w:t>
      </w:r>
    </w:p>
    <w:p w14:paraId="7794C003" w14:textId="77777777" w:rsidR="004D2F7B" w:rsidRPr="004E4AA7" w:rsidRDefault="004D2F7B" w:rsidP="000D3B07">
      <w:pPr>
        <w:spacing w:before="120" w:after="120"/>
        <w:contextualSpacing/>
        <w:jc w:val="both"/>
        <w:rPr>
          <w:rFonts w:eastAsia="Calibri"/>
          <w:sz w:val="20"/>
          <w:szCs w:val="20"/>
          <w:lang w:eastAsia="en-US"/>
        </w:rPr>
      </w:pPr>
    </w:p>
    <w:p w14:paraId="73E8408F" w14:textId="5DEF57B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Informacje prezentowane na liście są stronicowane. Użytkownik może przechodzić pomiędzy stronami do przodu lub do tyłu, jak również określić liczbę wierszy wyświetlanych jednocześnie na stronie. Dane na liście mogą być sortowane wg wybranej kolumny. Nazwa kolumny podświetla się wówczas na ciemny odcień szarego. Bieżący kontekst postępowania jest wyświetlany w nagłówku widoku. Przy kontekście jest zawarte menu kontekstowe, które pozwala na przejście do żądanej funkcjonalności aplikacji. Opcje dostępne w menu kontekstowym są również umieszczone w menu bocznym aplikacji. </w:t>
      </w:r>
    </w:p>
    <w:p w14:paraId="4B9CBEAD" w14:textId="4EDE0866"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 </w:t>
      </w:r>
    </w:p>
    <w:p w14:paraId="1B7A7B72" w14:textId="1187BCD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Użytkownik otrzymuje powiadomienia dostępne pod ikoną dzwoneczka. Po kliknięciu na nią rozwijana jest lista powiadomień, która umożliwia przejście do odpowiedniego obszaru w aplikacji.</w:t>
      </w:r>
    </w:p>
    <w:p w14:paraId="25BA2218" w14:textId="6CDCE924"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Z chwilą wybrania kontekstu postępowania jest on zapamiętywany i dostępny pod ikoną teczki. Po kliknięciu na ikonę wyświetlana jest lista zapamiętanych kontekstów.</w:t>
      </w:r>
    </w:p>
    <w:p w14:paraId="70BAB747" w14:textId="77777777" w:rsidR="004D2F7B" w:rsidRPr="004E4AA7" w:rsidRDefault="004D2F7B" w:rsidP="000D3B07">
      <w:pPr>
        <w:spacing w:before="120" w:after="120"/>
        <w:ind w:left="426"/>
        <w:contextualSpacing/>
        <w:jc w:val="both"/>
        <w:rPr>
          <w:rFonts w:eastAsia="Calibri"/>
          <w:sz w:val="20"/>
          <w:szCs w:val="20"/>
          <w:lang w:eastAsia="en-US"/>
        </w:rPr>
      </w:pPr>
    </w:p>
    <w:p w14:paraId="46160059" w14:textId="7777777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Po wprowadzeniu kryteriów filtrowania i wybraniu przycisku Wyszukaj postępowania system przefiltruje listę postępowań, aby wyłączyć filtr wybierz przycisk Wyczyść. W systemie dostępne są różne funkcjonalności w zależności od obszaru. Poniżej opis dostępnych pól na przykładzie widoku Postępowania wydziału:</w:t>
      </w:r>
    </w:p>
    <w:p w14:paraId="5518435A" w14:textId="655777CD"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Sygnatura akt,</w:t>
      </w:r>
    </w:p>
    <w:p w14:paraId="1EDCB88D" w14:textId="6305B700"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lastRenderedPageBreak/>
        <w:t>Przedmiot – np. po ogłoszenie,</w:t>
      </w:r>
    </w:p>
    <w:p w14:paraId="14A0BF6F" w14:textId="034D2F27"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Stan postępowania – wszystkie, aktywne, zakończone,</w:t>
      </w:r>
    </w:p>
    <w:p w14:paraId="75DCC05D" w14:textId="0D0E73C4"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Kod rodzaju ewidencji – np. PB, GU, GReu, GUp-K-upr,</w:t>
      </w:r>
    </w:p>
    <w:p w14:paraId="30CCB515" w14:textId="6E5E328F"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Kod rodzaju postępowania – np. GR-ppu, </w:t>
      </w:r>
    </w:p>
    <w:p w14:paraId="384BC5DD" w14:textId="282C4FDA" w:rsidR="004D2F7B" w:rsidRPr="004E4AA7" w:rsidRDefault="004D2F7B">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Pełniona rola w postępowaniu np. Sędzia-komisarz.</w:t>
      </w:r>
    </w:p>
    <w:p w14:paraId="4DF283F4" w14:textId="77777777" w:rsidR="004D2F7B" w:rsidRPr="004E4AA7" w:rsidRDefault="004D2F7B" w:rsidP="000D3B07">
      <w:pPr>
        <w:spacing w:before="120" w:after="120"/>
        <w:ind w:left="426"/>
        <w:contextualSpacing/>
        <w:jc w:val="both"/>
        <w:rPr>
          <w:rFonts w:eastAsia="Calibri"/>
          <w:sz w:val="20"/>
          <w:szCs w:val="20"/>
          <w:lang w:eastAsia="en-US"/>
        </w:rPr>
      </w:pPr>
    </w:p>
    <w:p w14:paraId="6BBD0B38" w14:textId="7777777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Użytkownik ma możliwość zmiany wydziału lub sądu, aby pracować w innym kontekście. </w:t>
      </w:r>
    </w:p>
    <w:p w14:paraId="4E644C8B" w14:textId="77777777" w:rsidR="004D2F7B" w:rsidRPr="004E4AA7" w:rsidRDefault="004D2F7B" w:rsidP="000D3B07">
      <w:pPr>
        <w:spacing w:before="120" w:after="120"/>
        <w:ind w:left="426"/>
        <w:contextualSpacing/>
        <w:jc w:val="both"/>
        <w:rPr>
          <w:rFonts w:eastAsia="Calibri"/>
          <w:sz w:val="20"/>
          <w:szCs w:val="20"/>
          <w:lang w:eastAsia="en-US"/>
        </w:rPr>
      </w:pPr>
    </w:p>
    <w:p w14:paraId="4328155D" w14:textId="7CE47EE3"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Niezależnie od rodzaju postępowania, funkcjonalności oraz zachowania aplikacji </w:t>
      </w:r>
      <w:r w:rsidR="002C72BC" w:rsidRPr="004E4AA7">
        <w:rPr>
          <w:rFonts w:eastAsia="Calibri"/>
          <w:sz w:val="20"/>
          <w:szCs w:val="20"/>
          <w:lang w:eastAsia="en-US"/>
        </w:rPr>
        <w:t xml:space="preserve">Portal Sądowy </w:t>
      </w:r>
      <w:r w:rsidRPr="004E4AA7">
        <w:rPr>
          <w:rFonts w:eastAsia="Calibri"/>
          <w:sz w:val="20"/>
          <w:szCs w:val="20"/>
          <w:lang w:eastAsia="en-US"/>
        </w:rPr>
        <w:t>KRZ pozostają niezmienne. Zalogowany użytkownik posiadający odpowiednie role i uprawnienia otrzymuje dostęp do zarządzania dokumentami, w kontekście postępowania w określonym zakresie. Zalogowany użytkownik w procesie obsługi dokumentu przechodzi przez następujące główne czynności:</w:t>
      </w:r>
    </w:p>
    <w:p w14:paraId="73C85F3B" w14:textId="219918E8" w:rsidR="004D2F7B" w:rsidRPr="004E4AA7" w:rsidRDefault="004D2F7B">
      <w:pPr>
        <w:pStyle w:val="Akapitzlist"/>
        <w:numPr>
          <w:ilvl w:val="0"/>
          <w:numId w:val="4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tworzenie dokumentu </w:t>
      </w:r>
    </w:p>
    <w:p w14:paraId="68FA6174" w14:textId="4833083A" w:rsidR="004D2F7B" w:rsidRPr="004E4AA7" w:rsidRDefault="004D2F7B">
      <w:pPr>
        <w:pStyle w:val="Akapitzlist"/>
        <w:numPr>
          <w:ilvl w:val="0"/>
          <w:numId w:val="4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edycja dokumentu </w:t>
      </w:r>
    </w:p>
    <w:p w14:paraId="68798544" w14:textId="492E5A32" w:rsidR="004D2F7B" w:rsidRPr="004E4AA7" w:rsidRDefault="004D2F7B">
      <w:pPr>
        <w:pStyle w:val="Akapitzlist"/>
        <w:numPr>
          <w:ilvl w:val="0"/>
          <w:numId w:val="4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zakończenie edycji i podpis dokumentu </w:t>
      </w:r>
    </w:p>
    <w:p w14:paraId="18FA71A6" w14:textId="540D4D9F" w:rsidR="004D2F7B" w:rsidRPr="004E4AA7" w:rsidRDefault="004D2F7B">
      <w:pPr>
        <w:pStyle w:val="Akapitzlist"/>
        <w:numPr>
          <w:ilvl w:val="0"/>
          <w:numId w:val="49"/>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 xml:space="preserve">wykonanie dokumentu </w:t>
      </w:r>
    </w:p>
    <w:p w14:paraId="5ED511C1" w14:textId="7777777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W przebiegu postępowania sądowego wyodrębniamy różne typy dokumentów m.in.:</w:t>
      </w:r>
    </w:p>
    <w:p w14:paraId="2F170922" w14:textId="2B72738C" w:rsidR="004D2F7B" w:rsidRPr="004E4AA7" w:rsidRDefault="004D2F7B">
      <w:pPr>
        <w:pStyle w:val="Akapitzlist"/>
        <w:numPr>
          <w:ilvl w:val="0"/>
          <w:numId w:val="50"/>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zarządzenie dekretacyjne do wniosku,</w:t>
      </w:r>
    </w:p>
    <w:p w14:paraId="21C62609" w14:textId="2AB933B5" w:rsidR="004D2F7B" w:rsidRPr="004E4AA7" w:rsidRDefault="004D2F7B">
      <w:pPr>
        <w:pStyle w:val="Akapitzlist"/>
        <w:numPr>
          <w:ilvl w:val="0"/>
          <w:numId w:val="50"/>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orzeczenia merytoryczne np. postanowienie o otwarciu postępowania,</w:t>
      </w:r>
    </w:p>
    <w:p w14:paraId="49ADE217" w14:textId="5AE481B1" w:rsidR="004D2F7B" w:rsidRPr="004E4AA7" w:rsidRDefault="004D2F7B">
      <w:pPr>
        <w:pStyle w:val="Akapitzlist"/>
        <w:numPr>
          <w:ilvl w:val="0"/>
          <w:numId w:val="50"/>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projekty treści obwieszczenia np. projekt treści obwieszczenia o wpisaniu wniosku do repertorium,</w:t>
      </w:r>
    </w:p>
    <w:p w14:paraId="2EC75663" w14:textId="51696FCF" w:rsidR="004D2F7B" w:rsidRPr="004E4AA7" w:rsidRDefault="004D2F7B">
      <w:pPr>
        <w:pStyle w:val="Akapitzlist"/>
        <w:numPr>
          <w:ilvl w:val="0"/>
          <w:numId w:val="50"/>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zarządzenia wykonawcze do postanowień,</w:t>
      </w:r>
    </w:p>
    <w:p w14:paraId="3049D920" w14:textId="49346B7F" w:rsidR="004D2F7B" w:rsidRPr="004E4AA7" w:rsidRDefault="004D2F7B">
      <w:pPr>
        <w:pStyle w:val="Akapitzlist"/>
        <w:numPr>
          <w:ilvl w:val="0"/>
          <w:numId w:val="50"/>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zarządzenia wydawane w postępowaniach.</w:t>
      </w:r>
    </w:p>
    <w:p w14:paraId="1C1B6D34" w14:textId="77777777" w:rsidR="004D2F7B" w:rsidRPr="004E4AA7" w:rsidRDefault="004D2F7B"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Każdy dokument związany jest z prowadzonym postępowaniem i należy go utworzyć w kontekście danego postępowania. </w:t>
      </w:r>
    </w:p>
    <w:p w14:paraId="63392FCB" w14:textId="77777777" w:rsidR="004D2F7B" w:rsidRPr="002B6859" w:rsidRDefault="004D2F7B" w:rsidP="002B6859">
      <w:pPr>
        <w:spacing w:before="120" w:after="120"/>
        <w:contextualSpacing/>
        <w:jc w:val="both"/>
        <w:rPr>
          <w:rFonts w:eastAsia="Calibri"/>
          <w:b/>
          <w:bCs/>
          <w:sz w:val="22"/>
          <w:szCs w:val="22"/>
          <w:lang w:eastAsia="en-US"/>
        </w:rPr>
      </w:pPr>
    </w:p>
    <w:p w14:paraId="6701FF6A" w14:textId="09389EF1" w:rsidR="006252A4" w:rsidRPr="00EB4940" w:rsidRDefault="000C2FEC" w:rsidP="00EB4940">
      <w:pPr>
        <w:pStyle w:val="Nagwek3"/>
        <w:rPr>
          <w:rFonts w:eastAsia="Calibri"/>
          <w:b/>
          <w:bCs/>
          <w:i w:val="0"/>
          <w:iCs w:val="0"/>
          <w:sz w:val="22"/>
          <w:szCs w:val="22"/>
          <w:lang w:eastAsia="en-US"/>
        </w:rPr>
      </w:pPr>
      <w:bookmarkStart w:id="36" w:name="_Toc134563671"/>
      <w:r w:rsidRPr="00EB4940">
        <w:rPr>
          <w:rFonts w:eastAsia="Calibri"/>
          <w:b/>
          <w:bCs/>
          <w:i w:val="0"/>
          <w:iCs w:val="0"/>
          <w:sz w:val="22"/>
          <w:szCs w:val="22"/>
          <w:lang w:eastAsia="en-US"/>
        </w:rPr>
        <w:t xml:space="preserve">3.4 </w:t>
      </w:r>
      <w:r w:rsidR="006252A4" w:rsidRPr="00EB4940">
        <w:rPr>
          <w:rFonts w:eastAsia="Calibri"/>
          <w:b/>
          <w:bCs/>
          <w:i w:val="0"/>
          <w:iCs w:val="0"/>
          <w:sz w:val="22"/>
          <w:szCs w:val="22"/>
          <w:lang w:eastAsia="en-US"/>
        </w:rPr>
        <w:t>Rejestr dla Organów Administracji Publicznej</w:t>
      </w:r>
      <w:bookmarkEnd w:id="36"/>
      <w:r w:rsidR="0040623E" w:rsidRPr="00EB4940">
        <w:rPr>
          <w:rFonts w:eastAsia="Calibri"/>
          <w:b/>
          <w:bCs/>
          <w:i w:val="0"/>
          <w:iCs w:val="0"/>
          <w:sz w:val="22"/>
          <w:szCs w:val="22"/>
          <w:lang w:eastAsia="en-US"/>
        </w:rPr>
        <w:t xml:space="preserve"> </w:t>
      </w:r>
    </w:p>
    <w:p w14:paraId="5C364A82" w14:textId="77777777" w:rsidR="002B6859" w:rsidRPr="002B6859" w:rsidRDefault="002B6859" w:rsidP="000C2FEC">
      <w:pPr>
        <w:spacing w:before="120" w:after="120"/>
        <w:contextualSpacing/>
        <w:jc w:val="both"/>
        <w:rPr>
          <w:rFonts w:eastAsia="Calibri"/>
          <w:b/>
          <w:bCs/>
          <w:sz w:val="22"/>
          <w:szCs w:val="22"/>
          <w:lang w:eastAsia="en-US"/>
        </w:rPr>
      </w:pPr>
    </w:p>
    <w:p w14:paraId="1A274F3B" w14:textId="63A18936"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Z </w:t>
      </w:r>
      <w:r w:rsidR="002C72BC" w:rsidRPr="004E4AA7">
        <w:rPr>
          <w:rFonts w:eastAsia="Calibri"/>
          <w:sz w:val="20"/>
          <w:szCs w:val="20"/>
          <w:lang w:eastAsia="en-US"/>
        </w:rPr>
        <w:t xml:space="preserve">Rejestru Dla Organów Administracji Publicznej </w:t>
      </w:r>
      <w:r w:rsidRPr="004E4AA7">
        <w:rPr>
          <w:rFonts w:eastAsia="Calibri"/>
          <w:sz w:val="20"/>
          <w:szCs w:val="20"/>
          <w:lang w:eastAsia="en-US"/>
        </w:rPr>
        <w:t xml:space="preserve">(REGZ) korzystają użytkownicy zarejestrowani, którzy są pracownikami </w:t>
      </w:r>
      <w:r w:rsidR="00AC6A98" w:rsidRPr="004E4AA7">
        <w:rPr>
          <w:rFonts w:eastAsia="Calibri"/>
          <w:sz w:val="20"/>
          <w:szCs w:val="20"/>
          <w:lang w:eastAsia="en-US"/>
        </w:rPr>
        <w:t>u</w:t>
      </w:r>
      <w:r w:rsidRPr="004E4AA7">
        <w:rPr>
          <w:rFonts w:eastAsia="Calibri"/>
          <w:sz w:val="20"/>
          <w:szCs w:val="20"/>
          <w:lang w:eastAsia="en-US"/>
        </w:rPr>
        <w:t>rzęd</w:t>
      </w:r>
      <w:r w:rsidR="00AC6A98" w:rsidRPr="004E4AA7">
        <w:rPr>
          <w:rFonts w:eastAsia="Calibri"/>
          <w:sz w:val="20"/>
          <w:szCs w:val="20"/>
          <w:lang w:eastAsia="en-US"/>
        </w:rPr>
        <w:t>ów</w:t>
      </w:r>
      <w:r w:rsidRPr="004E4AA7">
        <w:rPr>
          <w:rFonts w:eastAsia="Calibri"/>
          <w:sz w:val="20"/>
          <w:szCs w:val="20"/>
          <w:lang w:eastAsia="en-US"/>
        </w:rPr>
        <w:t xml:space="preserve"> </w:t>
      </w:r>
      <w:r w:rsidR="00AC6A98" w:rsidRPr="004E4AA7">
        <w:rPr>
          <w:rFonts w:eastAsia="Calibri"/>
          <w:sz w:val="20"/>
          <w:szCs w:val="20"/>
          <w:lang w:eastAsia="en-US"/>
        </w:rPr>
        <w:t>s</w:t>
      </w:r>
      <w:r w:rsidRPr="004E4AA7">
        <w:rPr>
          <w:rFonts w:eastAsia="Calibri"/>
          <w:sz w:val="20"/>
          <w:szCs w:val="20"/>
          <w:lang w:eastAsia="en-US"/>
        </w:rPr>
        <w:t>karbow</w:t>
      </w:r>
      <w:r w:rsidR="00AC6A98" w:rsidRPr="004E4AA7">
        <w:rPr>
          <w:rFonts w:eastAsia="Calibri"/>
          <w:sz w:val="20"/>
          <w:szCs w:val="20"/>
          <w:lang w:eastAsia="en-US"/>
        </w:rPr>
        <w:t>ych</w:t>
      </w:r>
      <w:r w:rsidRPr="004E4AA7">
        <w:rPr>
          <w:rFonts w:eastAsia="Calibri"/>
          <w:sz w:val="20"/>
          <w:szCs w:val="20"/>
          <w:lang w:eastAsia="en-US"/>
        </w:rPr>
        <w:t xml:space="preserve">, </w:t>
      </w:r>
      <w:r w:rsidR="00AC6A98" w:rsidRPr="004E4AA7">
        <w:rPr>
          <w:rFonts w:eastAsia="Calibri"/>
          <w:sz w:val="20"/>
          <w:szCs w:val="20"/>
          <w:lang w:eastAsia="en-US"/>
        </w:rPr>
        <w:t>od</w:t>
      </w:r>
      <w:r w:rsidRPr="004E4AA7">
        <w:rPr>
          <w:rFonts w:eastAsia="Calibri"/>
          <w:sz w:val="20"/>
          <w:szCs w:val="20"/>
          <w:lang w:eastAsia="en-US"/>
        </w:rPr>
        <w:t>dział</w:t>
      </w:r>
      <w:r w:rsidR="00AC6A98" w:rsidRPr="004E4AA7">
        <w:rPr>
          <w:rFonts w:eastAsia="Calibri"/>
          <w:sz w:val="20"/>
          <w:szCs w:val="20"/>
          <w:lang w:eastAsia="en-US"/>
        </w:rPr>
        <w:t>ów</w:t>
      </w:r>
      <w:r w:rsidRPr="004E4AA7">
        <w:rPr>
          <w:rFonts w:eastAsia="Calibri"/>
          <w:sz w:val="20"/>
          <w:szCs w:val="20"/>
          <w:lang w:eastAsia="en-US"/>
        </w:rPr>
        <w:t xml:space="preserve"> ZUS</w:t>
      </w:r>
      <w:r w:rsidR="00AC6A98" w:rsidRPr="004E4AA7">
        <w:rPr>
          <w:rFonts w:eastAsia="Calibri"/>
          <w:sz w:val="20"/>
          <w:szCs w:val="20"/>
          <w:lang w:eastAsia="en-US"/>
        </w:rPr>
        <w:t>,</w:t>
      </w:r>
      <w:r w:rsidR="00072870" w:rsidRPr="004E4AA7">
        <w:rPr>
          <w:rFonts w:eastAsia="Calibri"/>
          <w:sz w:val="20"/>
          <w:szCs w:val="20"/>
          <w:lang w:eastAsia="en-US"/>
        </w:rPr>
        <w:t xml:space="preserve"> a także komornicy oraz pracownicy organów pomocy społecznej</w:t>
      </w:r>
      <w:r w:rsidRPr="004E4AA7">
        <w:rPr>
          <w:rFonts w:eastAsia="Calibri"/>
          <w:sz w:val="20"/>
          <w:szCs w:val="20"/>
          <w:lang w:eastAsia="en-US"/>
        </w:rPr>
        <w:t>. Instytucj</w:t>
      </w:r>
      <w:r w:rsidR="00072870" w:rsidRPr="004E4AA7">
        <w:rPr>
          <w:rFonts w:eastAsia="Calibri"/>
          <w:sz w:val="20"/>
          <w:szCs w:val="20"/>
          <w:lang w:eastAsia="en-US"/>
        </w:rPr>
        <w:t>e</w:t>
      </w:r>
      <w:r w:rsidRPr="004E4AA7">
        <w:rPr>
          <w:rFonts w:eastAsia="Calibri"/>
          <w:sz w:val="20"/>
          <w:szCs w:val="20"/>
          <w:lang w:eastAsia="en-US"/>
        </w:rPr>
        <w:t xml:space="preserve"> logują się w kontekście użytkownika zarejestrowanego, posiadając dodatkowe uprawnienia do ujawniania w Rejestrze KRZ informacji o umorzonych postępowaniach egzekucyjnych oraz o prowadzonych egzekucjach świadczeń alimentacyjnych.</w:t>
      </w:r>
    </w:p>
    <w:p w14:paraId="71174BEB" w14:textId="77777777" w:rsidR="0040623E" w:rsidRPr="004E4AA7" w:rsidRDefault="0040623E" w:rsidP="000D3B07">
      <w:pPr>
        <w:spacing w:before="120" w:after="120"/>
        <w:ind w:left="426"/>
        <w:contextualSpacing/>
        <w:jc w:val="both"/>
        <w:rPr>
          <w:rFonts w:eastAsia="Calibri"/>
          <w:sz w:val="20"/>
          <w:szCs w:val="20"/>
          <w:lang w:eastAsia="en-US"/>
        </w:rPr>
      </w:pPr>
    </w:p>
    <w:p w14:paraId="25C86D22" w14:textId="77777777"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Postępowania alimentacyjne zawierają informacje o osobach fizycznych, wobec których toczy się:</w:t>
      </w:r>
    </w:p>
    <w:p w14:paraId="150F8772" w14:textId="3ACA52CE" w:rsidR="0040623E" w:rsidRPr="004E4AA7" w:rsidRDefault="0040623E">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egzekucja świadczeń alimentacyjnych,</w:t>
      </w:r>
    </w:p>
    <w:p w14:paraId="0FCBEEF1" w14:textId="7A90D044" w:rsidR="0040623E" w:rsidRPr="004E4AA7" w:rsidRDefault="0040623E">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egzekucja należności budżetu państwa powstałych z tytułu świadczeń wypłacanych w przypadku bezskuteczności egzekucji alimentów, a które zalegają ze spełnieniem tych świadczeń za okres dłuższy niż 3 miesiące.</w:t>
      </w:r>
    </w:p>
    <w:p w14:paraId="1D9A54D1" w14:textId="77777777"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Postępowania egzekucyjne zawierają informacje o:</w:t>
      </w:r>
    </w:p>
    <w:p w14:paraId="44B4916B" w14:textId="4B9B0975" w:rsidR="0040623E" w:rsidRPr="004E4AA7" w:rsidRDefault="0040623E">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osobach fizycznych,</w:t>
      </w:r>
    </w:p>
    <w:p w14:paraId="5E3B9840" w14:textId="612C8033" w:rsidR="0040623E" w:rsidRPr="004E4AA7" w:rsidRDefault="0040623E">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osobach prawnych,</w:t>
      </w:r>
    </w:p>
    <w:p w14:paraId="2F4CBC0C" w14:textId="6466CF40" w:rsidR="0040623E" w:rsidRPr="004E4AA7" w:rsidRDefault="0040623E">
      <w:pPr>
        <w:pStyle w:val="Akapitzlist"/>
        <w:numPr>
          <w:ilvl w:val="1"/>
          <w:numId w:val="47"/>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jednostkach organizacyjnych niebędących osobami prawnymi, którym ustawa przyznaje zdolność prawną oraz wobec których umorzono postępowanie egzekucyjne prowadzone przez:</w:t>
      </w:r>
    </w:p>
    <w:p w14:paraId="2DD6E84F" w14:textId="02767AEB" w:rsidR="0040623E" w:rsidRPr="004E4AA7" w:rsidRDefault="0040623E">
      <w:pPr>
        <w:pStyle w:val="Akapitzlist"/>
        <w:numPr>
          <w:ilvl w:val="1"/>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komornika sądowego lub sąd z uwagi na fakt, że z egzekucji nie uzyska się sumy wyższej od kosztów egzekucyjnych,</w:t>
      </w:r>
    </w:p>
    <w:p w14:paraId="289AF146" w14:textId="6EF528D7" w:rsidR="0040623E" w:rsidRPr="004E4AA7" w:rsidRDefault="0040623E">
      <w:pPr>
        <w:pStyle w:val="Akapitzlist"/>
        <w:numPr>
          <w:ilvl w:val="1"/>
          <w:numId w:val="46"/>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naczelnika urzędu skarbowego albo dyrektora oddziału ZUS z uwagi na fakt, że w postępowaniu egzekucyjnym nie uzyska się kwoty przewyższającej wydatki egzekucyjne.</w:t>
      </w:r>
    </w:p>
    <w:p w14:paraId="794773D4" w14:textId="756E240D"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Użytkownik zarejestrowany zalogowany w kontekście organu administracji publicznej, który korzysta z portalu Rejestr dla Organów Administracji Publicznej</w:t>
      </w:r>
      <w:r w:rsidR="00072870" w:rsidRPr="004E4AA7">
        <w:rPr>
          <w:rFonts w:eastAsia="Calibri"/>
          <w:sz w:val="20"/>
          <w:szCs w:val="20"/>
          <w:lang w:eastAsia="en-US"/>
        </w:rPr>
        <w:t>,</w:t>
      </w:r>
      <w:r w:rsidRPr="004E4AA7">
        <w:rPr>
          <w:rFonts w:eastAsia="Calibri"/>
          <w:sz w:val="20"/>
          <w:szCs w:val="20"/>
          <w:lang w:eastAsia="en-US"/>
        </w:rPr>
        <w:t xml:space="preserve"> powinien posiadać dedykowaną role, która określa dostępność funkcjonalności w aplikacji:</w:t>
      </w:r>
    </w:p>
    <w:p w14:paraId="453382A1" w14:textId="77777777" w:rsidR="0040623E" w:rsidRPr="004E4AA7" w:rsidRDefault="0040623E" w:rsidP="000D3B07">
      <w:pPr>
        <w:spacing w:before="120" w:after="120"/>
        <w:ind w:left="426"/>
        <w:contextualSpacing/>
        <w:jc w:val="both"/>
        <w:rPr>
          <w:rFonts w:eastAsia="Calibri"/>
          <w:sz w:val="20"/>
          <w:szCs w:val="20"/>
          <w:lang w:eastAsia="en-US"/>
        </w:rPr>
      </w:pPr>
    </w:p>
    <w:p w14:paraId="4C68EAB5" w14:textId="292A6970"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ROLE_TOZ-NACZELNIKUS (Naczelnik Urzędu Skarbowego) Uprawnienie do aplikacji Rejestr dla organów administracji publicznej</w:t>
      </w:r>
    </w:p>
    <w:p w14:paraId="700108A1" w14:textId="77777777"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lastRenderedPageBreak/>
        <w:t>ROLE_TOZ-SZEFKAS (Szef Krajowej Administracji Skarbowej) Uprawnienie do wywoływania usług komponentu Rejestr dla organów administracji publicznej</w:t>
      </w:r>
    </w:p>
    <w:p w14:paraId="229D4832" w14:textId="77777777"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ROLE_TOZ-DYROZUS (Dyrektor oddziału Zakładu Ubezpieczeń Społecznych) Uprawnienie do obsługi ujawniania danych o umorzonych postępowaniach egzekucyjnych</w:t>
      </w:r>
    </w:p>
    <w:p w14:paraId="589A1CA3" w14:textId="7444F753"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ROLE_TOZ-KOMORNIK (Komornik Sądowy) &lt;w kontekście &gt; ROLE_TOZ-KANCKOM (Kancelaria Komornika Sądowego) Uprawnienie do aplikacji Rejestr dla organów administracji publicznej; Uprawnienie do wywoływania usług komponentu Rejestr dla organów administracji publicznej; Uprawnienie do obsługi ujawniania danych o umorzonych postępowaniach egzekucyjnych; Uprawnienie do obsługi ujawniania danych o egzekucjach świadczeń alimentacyjnych</w:t>
      </w:r>
    </w:p>
    <w:p w14:paraId="48F85547" w14:textId="25042BCB"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ROLE_TOZ-ORGPSPOLECZNEJ (Organ pomocy społecznej) Uprawnienie do aplikacji Rejestr dla organów administracji publicznej; Uprawnienie do wywoływania usług komponentu Rejestr dla organów administracji publicznej; Uprawnienie do obsługi ujawniania danych o egzekucjach świadczeń alimentacyjnych</w:t>
      </w:r>
    </w:p>
    <w:p w14:paraId="79EC6692" w14:textId="77777777" w:rsidR="0040623E" w:rsidRPr="004E4AA7" w:rsidRDefault="0040623E" w:rsidP="000D3B07">
      <w:pPr>
        <w:spacing w:before="120" w:after="120"/>
        <w:ind w:left="426"/>
        <w:contextualSpacing/>
        <w:jc w:val="both"/>
        <w:rPr>
          <w:rFonts w:eastAsia="Calibri"/>
          <w:sz w:val="20"/>
          <w:szCs w:val="20"/>
          <w:lang w:eastAsia="en-US"/>
        </w:rPr>
      </w:pPr>
    </w:p>
    <w:p w14:paraId="2F68B558" w14:textId="25E707AF"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Użytkownik posiada możliwość filtrowania danych wyświetlonych na ekranie poprzez użycie funkcji Filtrowanie, która pozwala wyszukać informacje dla wprowadzonych kryteriów wyszukiwania. Po wprowadzeniu kryteriów naciśnij przycisk Wyszukaj, aby włączyć filtr lub Wyczyść, aby usunąć zdefiniowany wcześniej filtr. Możliwe jest filtrowanie listy roboczej oraz ujawnionej w rejestrze dla postępowań umorzonych egzekucyjnych oraz egzekucji świadczeń alimentacyjnych. Dostępne kryteria filtrowania: nr w rejestrze, imię / nazwisko, nazwa firmy prowadzonej przez os. fizyczną,</w:t>
      </w:r>
    </w:p>
    <w:p w14:paraId="28F48AB0" w14:textId="7013433A" w:rsidR="0040623E" w:rsidRPr="004E4AA7" w:rsidRDefault="0040623E"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nazwa podmiotu niebędącego os. fizyczną, sygnatura, data umorzenia / data rejestracji / data ujawnienia/ data spłaty całości wierzytelności, status, postępowanie dotyczy, tytuł wykonawczy, PESEL, numer identyfikacyjny.</w:t>
      </w:r>
    </w:p>
    <w:p w14:paraId="183EBC10" w14:textId="39C16F05" w:rsidR="0040623E" w:rsidRPr="004E4AA7" w:rsidRDefault="0040623E" w:rsidP="000D3B07">
      <w:pPr>
        <w:spacing w:before="120" w:after="120"/>
        <w:ind w:left="426"/>
        <w:contextualSpacing/>
        <w:jc w:val="both"/>
        <w:rPr>
          <w:rFonts w:eastAsia="Calibri"/>
          <w:b/>
          <w:bCs/>
          <w:sz w:val="20"/>
          <w:szCs w:val="20"/>
          <w:lang w:eastAsia="en-US"/>
        </w:rPr>
      </w:pPr>
    </w:p>
    <w:p w14:paraId="4CCCECC4" w14:textId="77777777" w:rsidR="0040623E" w:rsidRPr="004E4AA7" w:rsidRDefault="0040623E" w:rsidP="000D3B07">
      <w:pPr>
        <w:spacing w:before="120" w:after="120"/>
        <w:ind w:left="426"/>
        <w:contextualSpacing/>
        <w:jc w:val="both"/>
        <w:rPr>
          <w:rFonts w:eastAsia="Calibri"/>
          <w:b/>
          <w:bCs/>
          <w:sz w:val="20"/>
          <w:szCs w:val="20"/>
          <w:lang w:eastAsia="en-US"/>
        </w:rPr>
      </w:pPr>
    </w:p>
    <w:p w14:paraId="52B0686A" w14:textId="3AE7CB60" w:rsidR="006252A4" w:rsidRDefault="000C2FEC" w:rsidP="000C2FEC">
      <w:pPr>
        <w:spacing w:before="120" w:after="120"/>
        <w:contextualSpacing/>
        <w:jc w:val="both"/>
        <w:rPr>
          <w:rFonts w:eastAsia="Calibri"/>
          <w:b/>
          <w:bCs/>
          <w:sz w:val="22"/>
          <w:szCs w:val="22"/>
          <w:lang w:eastAsia="en-US"/>
        </w:rPr>
      </w:pPr>
      <w:r w:rsidRPr="002B6859">
        <w:rPr>
          <w:rFonts w:eastAsia="Calibri"/>
          <w:b/>
          <w:bCs/>
          <w:sz w:val="22"/>
          <w:szCs w:val="22"/>
          <w:lang w:eastAsia="en-US"/>
        </w:rPr>
        <w:t xml:space="preserve">3.5 </w:t>
      </w:r>
      <w:r w:rsidR="006252A4" w:rsidRPr="00EB4940">
        <w:rPr>
          <w:rStyle w:val="Nagwek3Znak"/>
          <w:rFonts w:eastAsia="Calibri"/>
          <w:b/>
          <w:bCs/>
          <w:i w:val="0"/>
          <w:iCs w:val="0"/>
          <w:sz w:val="22"/>
          <w:szCs w:val="22"/>
        </w:rPr>
        <w:t>Portal Użytkownika Branżowego</w:t>
      </w:r>
    </w:p>
    <w:p w14:paraId="6971FFFC" w14:textId="77777777" w:rsidR="002B6859" w:rsidRPr="002B6859" w:rsidRDefault="002B6859" w:rsidP="000C2FEC">
      <w:pPr>
        <w:spacing w:before="120" w:after="120"/>
        <w:contextualSpacing/>
        <w:jc w:val="both"/>
        <w:rPr>
          <w:rFonts w:eastAsia="Calibri"/>
          <w:b/>
          <w:bCs/>
          <w:sz w:val="22"/>
          <w:szCs w:val="22"/>
          <w:lang w:eastAsia="en-US"/>
        </w:rPr>
      </w:pPr>
    </w:p>
    <w:p w14:paraId="79E00841" w14:textId="74FA4192" w:rsidR="0024665F" w:rsidRPr="004E4AA7" w:rsidRDefault="00FC75DA"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Portal Użytkownika Branżowego KRZ </w:t>
      </w:r>
      <w:r w:rsidR="0024665F" w:rsidRPr="004E4AA7">
        <w:rPr>
          <w:rFonts w:eastAsia="Calibri"/>
          <w:sz w:val="20"/>
          <w:szCs w:val="20"/>
          <w:lang w:eastAsia="en-US"/>
        </w:rPr>
        <w:t>umożliwia doradcy restrukturyzacyjnemu realizowanie zadań wynikających z przepisów prawa upadłościowego i restrukturyzacyjnego m.in.:</w:t>
      </w:r>
    </w:p>
    <w:p w14:paraId="22A9A764" w14:textId="4AAEF9A7"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obsługę rejestru masy upadłości, masy układowej lub masy sanacyjnej,</w:t>
      </w:r>
    </w:p>
    <w:p w14:paraId="618771E1" w14:textId="40A8EF76"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spisu inwentarza i przekazania go do akt,</w:t>
      </w:r>
    </w:p>
    <w:p w14:paraId="2428BAAD" w14:textId="5B054FC4"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listy wierzytelności w postępowaniu upadłościowym,</w:t>
      </w:r>
    </w:p>
    <w:p w14:paraId="498E54F1" w14:textId="0F6B9C7D"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spisu wierzytelności, spisu wierzytelności spornych w postępowaniu restrukturyzacyjnym,</w:t>
      </w:r>
    </w:p>
    <w:p w14:paraId="745D7013" w14:textId="45400CD7"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wysłania listy oraz spisu wierzytelności do upadłego oraz do sądu,</w:t>
      </w:r>
    </w:p>
    <w:p w14:paraId="3FA17087" w14:textId="058A35FD"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wydanie zarządzenia np. o zwrocie z czynnością doręczenia do wierzyciela,</w:t>
      </w:r>
    </w:p>
    <w:p w14:paraId="2F66CCFA" w14:textId="74A67432"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planów podziału,</w:t>
      </w:r>
    </w:p>
    <w:p w14:paraId="15D255CF" w14:textId="619BDF39"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akt dla PZU,</w:t>
      </w:r>
    </w:p>
    <w:p w14:paraId="4132A883" w14:textId="2407D745"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tworzenie sprawozdań rachunkowych oraz z wykonania planów podziału</w:t>
      </w:r>
    </w:p>
    <w:p w14:paraId="4F7779EA" w14:textId="02ED84B4" w:rsidR="0024665F" w:rsidRPr="004E4AA7" w:rsidRDefault="0024665F">
      <w:pPr>
        <w:pStyle w:val="Akapitzlist"/>
        <w:numPr>
          <w:ilvl w:val="1"/>
          <w:numId w:val="51"/>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prowadzenie korespondencji z wierzycielami.</w:t>
      </w:r>
    </w:p>
    <w:p w14:paraId="358CD50F" w14:textId="77777777" w:rsidR="0024665F" w:rsidRPr="004E4AA7" w:rsidRDefault="0024665F" w:rsidP="000D3B07">
      <w:pPr>
        <w:spacing w:before="120" w:after="120"/>
        <w:ind w:left="426"/>
        <w:contextualSpacing/>
        <w:jc w:val="both"/>
        <w:rPr>
          <w:rFonts w:eastAsia="Calibri"/>
          <w:sz w:val="20"/>
          <w:szCs w:val="20"/>
          <w:lang w:eastAsia="en-US"/>
        </w:rPr>
      </w:pPr>
    </w:p>
    <w:p w14:paraId="76D66C20" w14:textId="2260DB6E"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Użytkownik zarejestrowany po zalogowaniu </w:t>
      </w:r>
      <w:r w:rsidR="00FC75DA" w:rsidRPr="004E4AA7">
        <w:rPr>
          <w:rFonts w:eastAsia="Calibri"/>
          <w:sz w:val="20"/>
          <w:szCs w:val="20"/>
          <w:lang w:eastAsia="en-US"/>
        </w:rPr>
        <w:t>przez</w:t>
      </w:r>
      <w:r w:rsidRPr="004E4AA7">
        <w:rPr>
          <w:rFonts w:eastAsia="Calibri"/>
          <w:sz w:val="20"/>
          <w:szCs w:val="20"/>
          <w:lang w:eastAsia="en-US"/>
        </w:rPr>
        <w:t xml:space="preserve"> </w:t>
      </w:r>
      <w:r w:rsidR="00FC75DA" w:rsidRPr="004E4AA7">
        <w:rPr>
          <w:rFonts w:eastAsia="Calibri"/>
          <w:sz w:val="20"/>
          <w:szCs w:val="20"/>
          <w:lang w:eastAsia="en-US"/>
        </w:rPr>
        <w:t xml:space="preserve">system Tożsamość </w:t>
      </w:r>
      <w:r w:rsidRPr="004E4AA7">
        <w:rPr>
          <w:rFonts w:eastAsia="Calibri"/>
          <w:sz w:val="20"/>
          <w:szCs w:val="20"/>
          <w:lang w:eastAsia="en-US"/>
        </w:rPr>
        <w:t xml:space="preserve">domyślnie posiada dwie podstawowe role ROLE_TOZ_DOMYSLNY i ROLE_TOZ_ADMKONTA. Użytkownik zarejestrowany będący doradcą restrukturyzacyjnym, który korzysta z </w:t>
      </w:r>
      <w:r w:rsidR="00FC75DA" w:rsidRPr="004E4AA7">
        <w:rPr>
          <w:rFonts w:eastAsia="Calibri"/>
          <w:sz w:val="20"/>
          <w:szCs w:val="20"/>
          <w:lang w:eastAsia="en-US"/>
        </w:rPr>
        <w:t>Portalu Użytkowników Branżowych</w:t>
      </w:r>
      <w:r w:rsidRPr="004E4AA7">
        <w:rPr>
          <w:rFonts w:eastAsia="Calibri"/>
          <w:sz w:val="20"/>
          <w:szCs w:val="20"/>
          <w:lang w:eastAsia="en-US"/>
        </w:rPr>
        <w:t xml:space="preserve"> KRZ powinien posiadać role: ROLE_TOZ-DORREST</w:t>
      </w:r>
      <w:r w:rsidR="00FC75DA" w:rsidRPr="004E4AA7">
        <w:rPr>
          <w:rFonts w:eastAsia="Calibri"/>
          <w:sz w:val="20"/>
          <w:szCs w:val="20"/>
          <w:lang w:eastAsia="en-US"/>
        </w:rPr>
        <w:t>.</w:t>
      </w:r>
      <w:r w:rsidRPr="004E4AA7">
        <w:rPr>
          <w:rFonts w:eastAsia="Calibri"/>
          <w:sz w:val="20"/>
          <w:szCs w:val="20"/>
          <w:lang w:eastAsia="en-US"/>
        </w:rPr>
        <w:t xml:space="preserve"> Rola ta umożliwia prace w PUB i wynika z posiadania przez konto profilu doradcy restrukturyzacyjnego. Użytkownik będący doradcą restrukturyzacyjnym powinien zawnioskować w </w:t>
      </w:r>
      <w:r w:rsidR="00FC75DA" w:rsidRPr="004E4AA7">
        <w:rPr>
          <w:rFonts w:eastAsia="Calibri"/>
          <w:sz w:val="20"/>
          <w:szCs w:val="20"/>
          <w:lang w:eastAsia="en-US"/>
        </w:rPr>
        <w:t>systemie</w:t>
      </w:r>
      <w:r w:rsidRPr="004E4AA7">
        <w:rPr>
          <w:rFonts w:eastAsia="Calibri"/>
          <w:sz w:val="20"/>
          <w:szCs w:val="20"/>
          <w:lang w:eastAsia="en-US"/>
        </w:rPr>
        <w:t xml:space="preserve"> Tożsamość o dodanie odpowiedniego profilu do konta oraz ROLE_TOZ-SDORREST</w:t>
      </w:r>
      <w:r w:rsidR="00FC75DA" w:rsidRPr="004E4AA7">
        <w:rPr>
          <w:rFonts w:eastAsia="Calibri"/>
          <w:sz w:val="20"/>
          <w:szCs w:val="20"/>
          <w:lang w:eastAsia="en-US"/>
        </w:rPr>
        <w:t>.</w:t>
      </w:r>
      <w:r w:rsidRPr="004E4AA7">
        <w:rPr>
          <w:rFonts w:eastAsia="Calibri"/>
          <w:sz w:val="20"/>
          <w:szCs w:val="20"/>
          <w:lang w:eastAsia="en-US"/>
        </w:rPr>
        <w:t xml:space="preserve"> Użytkowanie tej roli umożliwia pracownikowi kancelarii pracę w aplikacji PUB w kontekście spółki i wynika z posiadania przez konto profilu spółki doradców restrukturyzacyjnych. Administrator konta spółki powinien dodać pracowników do odpowiedniego profilu w aplikacji Moja Tożsamość.</w:t>
      </w:r>
    </w:p>
    <w:p w14:paraId="1AFEF300" w14:textId="77777777" w:rsidR="0024665F" w:rsidRPr="004E4AA7" w:rsidRDefault="0024665F" w:rsidP="000D3B07">
      <w:pPr>
        <w:spacing w:before="120" w:after="120"/>
        <w:ind w:left="426"/>
        <w:contextualSpacing/>
        <w:jc w:val="both"/>
        <w:rPr>
          <w:rFonts w:eastAsia="Calibri"/>
          <w:sz w:val="20"/>
          <w:szCs w:val="20"/>
          <w:lang w:eastAsia="en-US"/>
        </w:rPr>
      </w:pPr>
    </w:p>
    <w:p w14:paraId="41BD05B7" w14:textId="77777777"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Aplikacja została wyposażona w kilka typów pól do wypełnienia różniące się sposobem umieszczania w nich informacji:</w:t>
      </w:r>
    </w:p>
    <w:p w14:paraId="0B911899" w14:textId="3BBFAEF6"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opisowe, w których informacje wpisuje się ręcznie np. kryteria filtrowania:</w:t>
      </w:r>
    </w:p>
    <w:p w14:paraId="58695443" w14:textId="1FDEB90D"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opcji np.: TAK/NIE</w:t>
      </w:r>
    </w:p>
    <w:p w14:paraId="5BD26E66" w14:textId="7544C2B2"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wyboru:</w:t>
      </w:r>
    </w:p>
    <w:p w14:paraId="32E213A6" w14:textId="4E006C39"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dodające nowy blok:</w:t>
      </w:r>
    </w:p>
    <w:p w14:paraId="2618A3EB" w14:textId="2515DBC7"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sugerujące listę opcji kompatybilnych z wprowadzoną częścią słowa:</w:t>
      </w:r>
    </w:p>
    <w:p w14:paraId="1A553555" w14:textId="6D327F67"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lastRenderedPageBreak/>
        <w:t>Pola słownikowe, w których informacje umieszcza się poprzez rozwinięcie i wybór jednej z pozycji znajdujących się przy tym polu np. Kategoria zaspokojenia:</w:t>
      </w:r>
    </w:p>
    <w:p w14:paraId="51EBB1E1" w14:textId="79E1E57C" w:rsidR="0024665F" w:rsidRPr="004E4AA7" w:rsidRDefault="0024665F">
      <w:pPr>
        <w:pStyle w:val="Akapitzlist"/>
        <w:numPr>
          <w:ilvl w:val="0"/>
          <w:numId w:val="52"/>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Pola z ikonką kalendarza, tj. wszystkie te pola, które wymagają umieszczenia daty. Umożliwiają one wpisanie wartości w określonym formacie DD.MM.RRRR lub wybranie z listy rozwijanej poprzez użycie ikony np. Termin płatności:</w:t>
      </w:r>
    </w:p>
    <w:p w14:paraId="47A4E18F" w14:textId="77777777"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Aplikacja potwierdza wykonanie wybranych czynności przez wyświetlenie:</w:t>
      </w:r>
    </w:p>
    <w:p w14:paraId="1B6DFBCD" w14:textId="09429898" w:rsidR="0024665F" w:rsidRPr="004E4AA7" w:rsidRDefault="0024665F">
      <w:pPr>
        <w:pStyle w:val="Akapitzlist"/>
        <w:numPr>
          <w:ilvl w:val="0"/>
          <w:numId w:val="53"/>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wiadomości systemowej pozytywnej: Alert zielony</w:t>
      </w:r>
    </w:p>
    <w:p w14:paraId="65619A92" w14:textId="547D9957" w:rsidR="0024665F" w:rsidRPr="004E4AA7" w:rsidRDefault="0024665F">
      <w:pPr>
        <w:pStyle w:val="Akapitzlist"/>
        <w:numPr>
          <w:ilvl w:val="0"/>
          <w:numId w:val="53"/>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wiadomości systemowej negatywnej: Alert czerwony</w:t>
      </w:r>
    </w:p>
    <w:p w14:paraId="29175F3E" w14:textId="7BAF0D8F"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Bieżący kontekst postępowania jest wyświetlany w nagłówku widoku: Kontekst postępowania. Przy kontekście jest zawarte menu kontekstowe, które pozwala na przejście do żądanej funkcjonalności aplikacji. Opcje dostępne w menu kontekstowym są również umieszczone w menu bocznym aplikacji. Użytkownik otrzymuje powiadomienia dostępne pod ikoną dzwoneczka. Po kliknięciu na nią rozwijana jest lista powiadomień, która umożliwia przejście do odpowiedniego obszaru w aplikacji. Z chwilą wybrania kontekstu postępowania jest on zapamiętywany i dostępny pod ikoną teczki. Po kliknięciu na ikonę wyświetlana jest lista zapamiętanych kontekstów.</w:t>
      </w:r>
    </w:p>
    <w:p w14:paraId="00AD8D71" w14:textId="77777777" w:rsidR="0024665F" w:rsidRPr="004E4AA7" w:rsidRDefault="0024665F" w:rsidP="000D3B07">
      <w:pPr>
        <w:spacing w:before="120" w:after="120"/>
        <w:ind w:left="426"/>
        <w:contextualSpacing/>
        <w:jc w:val="both"/>
        <w:rPr>
          <w:rFonts w:eastAsia="Calibri"/>
          <w:sz w:val="20"/>
          <w:szCs w:val="20"/>
          <w:lang w:eastAsia="en-US"/>
        </w:rPr>
      </w:pPr>
    </w:p>
    <w:p w14:paraId="36F47FBA" w14:textId="77777777"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Okno filtrowania dostępne jest w obszarze komunikatów i opcji dodatkowych. Listę postępowań można filtrować według różnych parametrów. W celu ułatwienia wyszukiwania panel ten został podzielony na dwie sekcje, która zawierają adekwatne do sekcji parametry:</w:t>
      </w:r>
    </w:p>
    <w:p w14:paraId="5CD4CDC2"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Postępowanie:</w:t>
      </w:r>
    </w:p>
    <w:p w14:paraId="6AE6830F"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Sygnatura akt,</w:t>
      </w:r>
    </w:p>
    <w:p w14:paraId="283ED2C2"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Przedmiot,</w:t>
      </w:r>
    </w:p>
    <w:p w14:paraId="0D281D25"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Stan postępowania (lista wyboru):</w:t>
      </w:r>
    </w:p>
    <w:p w14:paraId="56F2BE8D"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Wszystkie,</w:t>
      </w:r>
    </w:p>
    <w:p w14:paraId="39850436"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Aktywne,</w:t>
      </w:r>
    </w:p>
    <w:p w14:paraId="3EFF4F0E"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Zakończone,</w:t>
      </w:r>
    </w:p>
    <w:p w14:paraId="638891D8"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Kod rodzaju ewidencji (lista wyboru) np.:</w:t>
      </w:r>
    </w:p>
    <w:p w14:paraId="094FE96F"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Dla postępowań upadłościowych: GUp-s, GUp-s-Zw,</w:t>
      </w:r>
    </w:p>
    <w:p w14:paraId="59BAF242"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Dla postępowań restrukturyzacyjnych GRz-nu, GRp-ns, GRs:</w:t>
      </w:r>
    </w:p>
    <w:p w14:paraId="73ECAAE3"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Pełniona rola w postępowaniu (lista wyboru) np.:</w:t>
      </w:r>
    </w:p>
    <w:p w14:paraId="5964A94B"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Syndyk, Zarządca, Nadzorca sądowy, Nadzorca układu.</w:t>
      </w:r>
    </w:p>
    <w:p w14:paraId="05BF9291"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 Dłużnik:</w:t>
      </w:r>
    </w:p>
    <w:p w14:paraId="216682DE"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Imię,</w:t>
      </w:r>
    </w:p>
    <w:p w14:paraId="74B74F58" w14:textId="77777777" w:rsidR="0024665F" w:rsidRPr="004E4AA7" w:rsidRDefault="0024665F" w:rsidP="000D3B07">
      <w:pPr>
        <w:spacing w:before="120" w:after="120"/>
        <w:ind w:left="1272"/>
        <w:contextualSpacing/>
        <w:jc w:val="both"/>
        <w:rPr>
          <w:rFonts w:eastAsia="Calibri"/>
          <w:sz w:val="20"/>
          <w:szCs w:val="20"/>
          <w:lang w:eastAsia="en-US"/>
        </w:rPr>
      </w:pPr>
      <w:r w:rsidRPr="004E4AA7">
        <w:rPr>
          <w:rFonts w:eastAsia="Calibri"/>
          <w:sz w:val="20"/>
          <w:szCs w:val="20"/>
          <w:lang w:eastAsia="en-US"/>
        </w:rPr>
        <w:t>o Nazwisko / Nazwa.</w:t>
      </w:r>
    </w:p>
    <w:p w14:paraId="376BD4DC" w14:textId="77777777" w:rsidR="0024665F" w:rsidRPr="004E4AA7" w:rsidRDefault="0024665F" w:rsidP="000D3B07">
      <w:pPr>
        <w:spacing w:before="120" w:after="120"/>
        <w:ind w:left="426"/>
        <w:contextualSpacing/>
        <w:jc w:val="both"/>
        <w:rPr>
          <w:rFonts w:eastAsia="Calibri"/>
          <w:sz w:val="20"/>
          <w:szCs w:val="20"/>
          <w:lang w:eastAsia="en-US"/>
        </w:rPr>
      </w:pPr>
    </w:p>
    <w:p w14:paraId="3ED1D95C" w14:textId="19A4AFA4"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Lista dokumentów w porównaniu do listy postępowań jest dostępna wyłącznie w kontekście postępowania i nie wymaga zatwierdzenia wprowadzonych parametrów wyszukiwania. Po wpisaniu odpowiedniego parametru automatycznie następuje filtrowanie widoku, w którym obecnie się znajdujemy. Listę dokumentów można filtrować według parametrów takich jak:</w:t>
      </w:r>
    </w:p>
    <w:p w14:paraId="138C654F"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Dokumenty: Główne/Wszystkie,</w:t>
      </w:r>
    </w:p>
    <w:p w14:paraId="0C1734BC"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Numer w aktach,</w:t>
      </w:r>
    </w:p>
    <w:p w14:paraId="714ECA24"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Nazwa dokumentu,</w:t>
      </w:r>
    </w:p>
    <w:p w14:paraId="76ADA99B"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Kod dokumentu,</w:t>
      </w:r>
    </w:p>
    <w:p w14:paraId="7F509A1D"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Znak pisma,</w:t>
      </w:r>
    </w:p>
    <w:p w14:paraId="52353FA6" w14:textId="77777777" w:rsidR="0024665F" w:rsidRPr="004E4AA7" w:rsidRDefault="0024665F" w:rsidP="000D3B07">
      <w:pPr>
        <w:spacing w:before="120" w:after="120"/>
        <w:ind w:left="1416"/>
        <w:contextualSpacing/>
        <w:jc w:val="both"/>
        <w:rPr>
          <w:rFonts w:eastAsia="Calibri"/>
          <w:sz w:val="20"/>
          <w:szCs w:val="20"/>
          <w:lang w:eastAsia="en-US"/>
        </w:rPr>
      </w:pPr>
      <w:r w:rsidRPr="004E4AA7">
        <w:rPr>
          <w:rFonts w:eastAsia="Calibri"/>
          <w:sz w:val="20"/>
          <w:szCs w:val="20"/>
          <w:lang w:eastAsia="en-US"/>
        </w:rPr>
        <w:t>• Status (lista wyboru) np.:</w:t>
      </w:r>
    </w:p>
    <w:p w14:paraId="5FD7998C" w14:textId="77777777" w:rsidR="0024665F" w:rsidRPr="004E4AA7" w:rsidRDefault="0024665F" w:rsidP="000D3B07">
      <w:pPr>
        <w:spacing w:before="120" w:after="120"/>
        <w:ind w:left="1698"/>
        <w:contextualSpacing/>
        <w:jc w:val="both"/>
        <w:rPr>
          <w:rFonts w:eastAsia="Calibri"/>
          <w:sz w:val="20"/>
          <w:szCs w:val="20"/>
          <w:lang w:eastAsia="en-US"/>
        </w:rPr>
      </w:pPr>
      <w:r w:rsidRPr="004E4AA7">
        <w:rPr>
          <w:rFonts w:eastAsia="Calibri"/>
          <w:sz w:val="20"/>
          <w:szCs w:val="20"/>
          <w:lang w:eastAsia="en-US"/>
        </w:rPr>
        <w:t>o Aktualny, Braki, Weryfikowany, Zwrócony, Uzupełniono, Do uzupełnienia.</w:t>
      </w:r>
    </w:p>
    <w:p w14:paraId="6D2A6C52" w14:textId="77777777" w:rsidR="0024665F" w:rsidRPr="004E4AA7" w:rsidRDefault="0024665F" w:rsidP="000D3B07">
      <w:pPr>
        <w:spacing w:before="120" w:after="120"/>
        <w:ind w:left="426"/>
        <w:contextualSpacing/>
        <w:jc w:val="both"/>
        <w:rPr>
          <w:rFonts w:eastAsia="Calibri"/>
          <w:sz w:val="20"/>
          <w:szCs w:val="20"/>
          <w:lang w:eastAsia="en-US"/>
        </w:rPr>
      </w:pPr>
    </w:p>
    <w:p w14:paraId="0F8A652D" w14:textId="11ABC5B4"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Po zalogowaniu do aplikacji </w:t>
      </w:r>
      <w:r w:rsidR="00FC75DA" w:rsidRPr="004E4AA7">
        <w:rPr>
          <w:rFonts w:eastAsia="Calibri"/>
          <w:sz w:val="20"/>
          <w:szCs w:val="20"/>
          <w:lang w:eastAsia="en-US"/>
        </w:rPr>
        <w:t xml:space="preserve">Portal Użytkowników Branżowych </w:t>
      </w:r>
      <w:r w:rsidRPr="004E4AA7">
        <w:rPr>
          <w:rFonts w:eastAsia="Calibri"/>
          <w:sz w:val="20"/>
          <w:szCs w:val="20"/>
          <w:lang w:eastAsia="en-US"/>
        </w:rPr>
        <w:t>KRZ prezentowana jest lista Moje postępowania, w których użytkownik pełni rolę Doradcy restrukturyzacyjnego. W zależności od rodzaju postępowania menu główne oferuje różny zestaw funkcjonalności.</w:t>
      </w:r>
    </w:p>
    <w:p w14:paraId="4B582BAA" w14:textId="77777777"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W ramach postępowania upadłościowego wybierając poszczególne elementy główne menu oferuje zarządzanie przypisanymi obszarami. Postępowanie upadłościowe obejmuje:</w:t>
      </w:r>
    </w:p>
    <w:p w14:paraId="108FFB11" w14:textId="210707F9"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spisy majątku,</w:t>
      </w:r>
    </w:p>
    <w:p w14:paraId="7E9F7AA3" w14:textId="10219D9C"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kategorie wpływów/wydatków,</w:t>
      </w:r>
    </w:p>
    <w:p w14:paraId="4730B9A6" w14:textId="796FA1FB"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wpływy/wydatki,</w:t>
      </w:r>
    </w:p>
    <w:p w14:paraId="334EE7A7" w14:textId="65393C80"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listę wierzytelności i jej uzupełnienia,</w:t>
      </w:r>
    </w:p>
    <w:p w14:paraId="7519BD0B" w14:textId="2F8F41A9"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dane wierzycieli,</w:t>
      </w:r>
    </w:p>
    <w:p w14:paraId="777644DB" w14:textId="0909BC6D"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stan wierzytelności,</w:t>
      </w:r>
    </w:p>
    <w:p w14:paraId="0F3C7B20" w14:textId="7C829730"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lastRenderedPageBreak/>
        <w:t>zobowiązania zaspokajane w PP (planie podziału),</w:t>
      </w:r>
    </w:p>
    <w:p w14:paraId="026614A9" w14:textId="77777777" w:rsidR="006E1FD8"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plan podziału funduszów masy,</w:t>
      </w:r>
    </w:p>
    <w:p w14:paraId="453BB59A" w14:textId="77777777" w:rsidR="006E1FD8"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oddzielny plan podziału,</w:t>
      </w:r>
    </w:p>
    <w:p w14:paraId="3A64BD39" w14:textId="77777777" w:rsidR="006E1FD8"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głosowania,</w:t>
      </w:r>
    </w:p>
    <w:p w14:paraId="2283D1C8" w14:textId="2BD235BF" w:rsidR="0024665F" w:rsidRPr="004E4AA7" w:rsidRDefault="0024665F">
      <w:pPr>
        <w:pStyle w:val="Akapitzlist"/>
        <w:numPr>
          <w:ilvl w:val="0"/>
          <w:numId w:val="54"/>
        </w:numPr>
        <w:spacing w:before="120" w:after="120" w:line="240" w:lineRule="auto"/>
        <w:contextualSpacing/>
        <w:jc w:val="both"/>
        <w:rPr>
          <w:rFonts w:ascii="Times New Roman" w:eastAsia="Calibri" w:hAnsi="Times New Roman" w:cs="Times New Roman"/>
          <w:sz w:val="20"/>
          <w:szCs w:val="20"/>
        </w:rPr>
      </w:pPr>
      <w:r w:rsidRPr="004E4AA7">
        <w:rPr>
          <w:rFonts w:ascii="Times New Roman" w:eastAsia="Calibri" w:hAnsi="Times New Roman" w:cs="Times New Roman"/>
          <w:sz w:val="20"/>
          <w:szCs w:val="20"/>
        </w:rPr>
        <w:t>sprawozdania.</w:t>
      </w:r>
    </w:p>
    <w:p w14:paraId="3613990F" w14:textId="77777777"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Wyodrębnimy cztery rodzaje postępowań restrukturyzacyjnych, w ramach których główne menu oferuje zarządzanie przypisanymi obszarami.</w:t>
      </w:r>
    </w:p>
    <w:p w14:paraId="28E39F28"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1. Postępowanie o zawarcie układu obejmuje:</w:t>
      </w:r>
    </w:p>
    <w:p w14:paraId="3F5D78AE"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a. dane wierzycieli,</w:t>
      </w:r>
    </w:p>
    <w:p w14:paraId="7FEB790F"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b. spis wierzytelności,</w:t>
      </w:r>
    </w:p>
    <w:p w14:paraId="07902A17"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c. spis wierzytelności spornych,</w:t>
      </w:r>
    </w:p>
    <w:p w14:paraId="40AB6EBA"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d. grupy wierzycieli,</w:t>
      </w:r>
    </w:p>
    <w:p w14:paraId="0BC39C28"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e. głosowania.</w:t>
      </w:r>
    </w:p>
    <w:p w14:paraId="6A4A620D"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2. Przyspieszone postępowanie układowe obejmuje:</w:t>
      </w:r>
    </w:p>
    <w:p w14:paraId="42A07D6A"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a. dane wierzycieli,</w:t>
      </w:r>
    </w:p>
    <w:p w14:paraId="21F82C8B"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b. spis wierzytelności,</w:t>
      </w:r>
    </w:p>
    <w:p w14:paraId="48D18C97"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c. spis wierzytelności spornych,</w:t>
      </w:r>
    </w:p>
    <w:p w14:paraId="2A0B4A42"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d. grupy wierzycieli,</w:t>
      </w:r>
    </w:p>
    <w:p w14:paraId="0E2C91CF"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e. stan wierzytelności,</w:t>
      </w:r>
    </w:p>
    <w:p w14:paraId="5EE25EC8"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f. głosowania.</w:t>
      </w:r>
    </w:p>
    <w:p w14:paraId="2D5AFB6B"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3. Postępowanie układowe obejmuje:</w:t>
      </w:r>
    </w:p>
    <w:p w14:paraId="166C0CC5"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a. spis majątku,</w:t>
      </w:r>
    </w:p>
    <w:p w14:paraId="4A328D53"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b. dane wierzycieli,</w:t>
      </w:r>
    </w:p>
    <w:p w14:paraId="106485FE"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c. spis wierzytelności,</w:t>
      </w:r>
    </w:p>
    <w:p w14:paraId="7B7516C5"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d. grupy wierzycieli,</w:t>
      </w:r>
    </w:p>
    <w:p w14:paraId="1F80A04E"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e. stan wierzytelności,</w:t>
      </w:r>
    </w:p>
    <w:p w14:paraId="2492896F"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f. głosowania.</w:t>
      </w:r>
    </w:p>
    <w:p w14:paraId="24AF2A89"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4. Postępowanie sanacyjne obejmuje:</w:t>
      </w:r>
    </w:p>
    <w:p w14:paraId="6EFFA0FC"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a. spis majątku,</w:t>
      </w:r>
    </w:p>
    <w:p w14:paraId="5FCFCDDE"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b. dane wierzycieli,</w:t>
      </w:r>
    </w:p>
    <w:p w14:paraId="4219B443"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c. spis wierzytelności,</w:t>
      </w:r>
    </w:p>
    <w:p w14:paraId="6F25366B"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d. grupy wierzycieli,</w:t>
      </w:r>
    </w:p>
    <w:p w14:paraId="01A59D0A"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e. stan wierzytelności,</w:t>
      </w:r>
    </w:p>
    <w:p w14:paraId="498626FB"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f. zobowiązania zaspokajane w PP,</w:t>
      </w:r>
    </w:p>
    <w:p w14:paraId="3A923451"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g. oddzielny plan podziału,</w:t>
      </w:r>
    </w:p>
    <w:p w14:paraId="15EDD128" w14:textId="77777777" w:rsidR="0024665F" w:rsidRPr="004E4AA7" w:rsidRDefault="0024665F" w:rsidP="000D3B07">
      <w:pPr>
        <w:spacing w:before="120" w:after="120"/>
        <w:ind w:left="990"/>
        <w:contextualSpacing/>
        <w:jc w:val="both"/>
        <w:rPr>
          <w:rFonts w:eastAsia="Calibri"/>
          <w:sz w:val="20"/>
          <w:szCs w:val="20"/>
          <w:lang w:eastAsia="en-US"/>
        </w:rPr>
      </w:pPr>
      <w:r w:rsidRPr="004E4AA7">
        <w:rPr>
          <w:rFonts w:eastAsia="Calibri"/>
          <w:sz w:val="20"/>
          <w:szCs w:val="20"/>
          <w:lang w:eastAsia="en-US"/>
        </w:rPr>
        <w:t>h. głosowania.</w:t>
      </w:r>
    </w:p>
    <w:p w14:paraId="08FD6138" w14:textId="77777777" w:rsidR="00DE586C" w:rsidRPr="004E4AA7" w:rsidRDefault="00DE586C" w:rsidP="000D3B07">
      <w:pPr>
        <w:spacing w:before="120" w:after="120"/>
        <w:ind w:left="426"/>
        <w:contextualSpacing/>
        <w:jc w:val="both"/>
        <w:rPr>
          <w:rFonts w:eastAsia="Calibri"/>
          <w:sz w:val="20"/>
          <w:szCs w:val="20"/>
          <w:lang w:eastAsia="en-US"/>
        </w:rPr>
      </w:pPr>
    </w:p>
    <w:p w14:paraId="5F7DBB2E" w14:textId="242DB820"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Innym rodzajem postępowania jest Postępowanie o zawarcie układu na zgromadzeniu wierzycieli przez osobę fizyczną nieprowadzącą działalności gospodarczej, które obejmuje:</w:t>
      </w:r>
    </w:p>
    <w:p w14:paraId="7582B0C5"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a. dane wierzycieli,</w:t>
      </w:r>
    </w:p>
    <w:p w14:paraId="31C46656"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b. spis wierzytelności,</w:t>
      </w:r>
    </w:p>
    <w:p w14:paraId="5696B2F4"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c. spis wierzytelności spornych,</w:t>
      </w:r>
    </w:p>
    <w:p w14:paraId="6E5C1FF1"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d. grupy wierzycieli,</w:t>
      </w:r>
    </w:p>
    <w:p w14:paraId="5F425091" w14:textId="77777777"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e. głosowania.</w:t>
      </w:r>
    </w:p>
    <w:p w14:paraId="0E19B9CC" w14:textId="6267065F" w:rsidR="0024665F" w:rsidRPr="004E4AA7" w:rsidRDefault="0024665F"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Bez względu na rodzaj użytkownik w kontekście postępowania posiada dostęp do informacji o postępowaniu:</w:t>
      </w:r>
    </w:p>
    <w:p w14:paraId="0BF988E6" w14:textId="1DB92256"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a. Szczegółów postępowania.</w:t>
      </w:r>
    </w:p>
    <w:p w14:paraId="7F05A576" w14:textId="55DD3598"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b. Postępowania powiązane.</w:t>
      </w:r>
    </w:p>
    <w:p w14:paraId="16A98BC4" w14:textId="27C8E813"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c. Akt postępowania.</w:t>
      </w:r>
    </w:p>
    <w:p w14:paraId="0163A743" w14:textId="630F98EF"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d. Dokumenty robocze.</w:t>
      </w:r>
    </w:p>
    <w:p w14:paraId="129111BC" w14:textId="179F0A76" w:rsidR="0024665F" w:rsidRPr="004E4AA7" w:rsidRDefault="0024665F" w:rsidP="000D3B07">
      <w:pPr>
        <w:spacing w:before="120" w:after="120"/>
        <w:ind w:left="708"/>
        <w:contextualSpacing/>
        <w:jc w:val="both"/>
        <w:rPr>
          <w:rFonts w:eastAsia="Calibri"/>
          <w:sz w:val="20"/>
          <w:szCs w:val="20"/>
          <w:lang w:eastAsia="en-US"/>
        </w:rPr>
      </w:pPr>
      <w:r w:rsidRPr="004E4AA7">
        <w:rPr>
          <w:rFonts w:eastAsia="Calibri"/>
          <w:sz w:val="20"/>
          <w:szCs w:val="20"/>
          <w:lang w:eastAsia="en-US"/>
        </w:rPr>
        <w:t>e. Moje odpisy.</w:t>
      </w:r>
    </w:p>
    <w:p w14:paraId="48158928" w14:textId="77777777" w:rsidR="000C2FEC" w:rsidRPr="004E4AA7" w:rsidRDefault="000C2FEC" w:rsidP="000C2FEC">
      <w:pPr>
        <w:spacing w:before="120" w:after="120"/>
        <w:contextualSpacing/>
        <w:jc w:val="both"/>
        <w:rPr>
          <w:rFonts w:eastAsia="Calibri"/>
          <w:b/>
          <w:bCs/>
          <w:sz w:val="20"/>
          <w:szCs w:val="20"/>
          <w:lang w:eastAsia="en-US"/>
        </w:rPr>
      </w:pPr>
    </w:p>
    <w:p w14:paraId="5029E075" w14:textId="772C3DBD" w:rsidR="008078B8" w:rsidRDefault="000C2FEC" w:rsidP="000C2FEC">
      <w:pPr>
        <w:spacing w:before="120" w:after="120"/>
        <w:contextualSpacing/>
        <w:jc w:val="both"/>
        <w:rPr>
          <w:rFonts w:eastAsia="Calibri"/>
          <w:b/>
          <w:bCs/>
          <w:sz w:val="22"/>
          <w:szCs w:val="22"/>
          <w:lang w:eastAsia="en-US"/>
        </w:rPr>
      </w:pPr>
      <w:r w:rsidRPr="002B6859">
        <w:rPr>
          <w:rFonts w:eastAsia="Calibri"/>
          <w:b/>
          <w:bCs/>
          <w:sz w:val="22"/>
          <w:szCs w:val="22"/>
          <w:lang w:eastAsia="en-US"/>
        </w:rPr>
        <w:t xml:space="preserve">3.6 </w:t>
      </w:r>
      <w:r w:rsidR="006252A4" w:rsidRPr="00EB4940">
        <w:rPr>
          <w:rStyle w:val="Nagwek3Znak"/>
          <w:rFonts w:eastAsia="Calibri"/>
          <w:b/>
          <w:bCs/>
          <w:i w:val="0"/>
          <w:iCs w:val="0"/>
          <w:sz w:val="22"/>
          <w:szCs w:val="22"/>
        </w:rPr>
        <w:t>Lista Doradców Restrukturyzacyjnych</w:t>
      </w:r>
      <w:r w:rsidR="009B695C" w:rsidRPr="00EB4940">
        <w:rPr>
          <w:rStyle w:val="Nagwek3Znak"/>
          <w:rFonts w:eastAsia="Calibri"/>
          <w:b/>
          <w:bCs/>
          <w:i w:val="0"/>
          <w:iCs w:val="0"/>
          <w:sz w:val="22"/>
          <w:szCs w:val="22"/>
        </w:rPr>
        <w:t xml:space="preserve"> – Organ Uprawniony</w:t>
      </w:r>
    </w:p>
    <w:p w14:paraId="774965AE" w14:textId="77777777" w:rsidR="002B6859" w:rsidRPr="002B6859" w:rsidRDefault="002B6859" w:rsidP="000C2FEC">
      <w:pPr>
        <w:spacing w:before="120" w:after="120"/>
        <w:contextualSpacing/>
        <w:jc w:val="both"/>
        <w:rPr>
          <w:rFonts w:eastAsia="Calibri"/>
          <w:b/>
          <w:bCs/>
          <w:sz w:val="22"/>
          <w:szCs w:val="22"/>
          <w:lang w:eastAsia="en-US"/>
        </w:rPr>
      </w:pPr>
    </w:p>
    <w:p w14:paraId="246477AD" w14:textId="39C0D31D" w:rsidR="0055399D" w:rsidRPr="004E4AA7" w:rsidRDefault="00DE586C"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Lista Doradców Restrukturyzacyjnych – Organ Uprawniony </w:t>
      </w:r>
      <w:r w:rsidR="0055399D" w:rsidRPr="004E4AA7">
        <w:rPr>
          <w:rFonts w:eastAsia="Calibri"/>
          <w:sz w:val="20"/>
          <w:szCs w:val="20"/>
          <w:lang w:eastAsia="en-US"/>
        </w:rPr>
        <w:t>umożliwia</w:t>
      </w:r>
      <w:r w:rsidR="00013BD6" w:rsidRPr="004E4AA7">
        <w:rPr>
          <w:rFonts w:eastAsia="Calibri"/>
          <w:sz w:val="20"/>
          <w:szCs w:val="20"/>
          <w:lang w:eastAsia="en-US"/>
        </w:rPr>
        <w:t xml:space="preserve"> </w:t>
      </w:r>
      <w:r w:rsidR="0055399D" w:rsidRPr="004E4AA7">
        <w:rPr>
          <w:rFonts w:eastAsia="Calibri"/>
          <w:sz w:val="20"/>
          <w:szCs w:val="20"/>
          <w:lang w:eastAsia="en-US"/>
        </w:rPr>
        <w:t>zarządzanie:</w:t>
      </w:r>
      <w:r w:rsidR="00013BD6" w:rsidRPr="004E4AA7">
        <w:rPr>
          <w:rFonts w:eastAsia="Calibri"/>
          <w:sz w:val="20"/>
          <w:szCs w:val="20"/>
          <w:lang w:eastAsia="en-US"/>
        </w:rPr>
        <w:t xml:space="preserve"> </w:t>
      </w:r>
      <w:r w:rsidR="0055399D" w:rsidRPr="004E4AA7">
        <w:rPr>
          <w:rFonts w:eastAsia="Calibri"/>
          <w:sz w:val="20"/>
          <w:szCs w:val="20"/>
          <w:lang w:eastAsia="en-US"/>
        </w:rPr>
        <w:t>listą doradców restrukturyzacyjnych</w:t>
      </w:r>
      <w:r w:rsidR="00013BD6" w:rsidRPr="004E4AA7">
        <w:rPr>
          <w:rFonts w:eastAsia="Calibri"/>
          <w:sz w:val="20"/>
          <w:szCs w:val="20"/>
          <w:lang w:eastAsia="en-US"/>
        </w:rPr>
        <w:t xml:space="preserve"> oraz </w:t>
      </w:r>
      <w:r w:rsidR="0055399D" w:rsidRPr="004E4AA7">
        <w:rPr>
          <w:rFonts w:eastAsia="Calibri"/>
          <w:sz w:val="20"/>
          <w:szCs w:val="20"/>
          <w:lang w:eastAsia="en-US"/>
        </w:rPr>
        <w:t>doświadczeniem doradców restrukturyzacyjnych</w:t>
      </w:r>
      <w:r w:rsidR="00013BD6" w:rsidRPr="004E4AA7">
        <w:rPr>
          <w:rFonts w:eastAsia="Calibri"/>
          <w:sz w:val="20"/>
          <w:szCs w:val="20"/>
          <w:lang w:eastAsia="en-US"/>
        </w:rPr>
        <w:t>. A</w:t>
      </w:r>
      <w:r w:rsidR="0055399D" w:rsidRPr="004E4AA7">
        <w:rPr>
          <w:rFonts w:eastAsia="Calibri"/>
          <w:sz w:val="20"/>
          <w:szCs w:val="20"/>
          <w:lang w:eastAsia="en-US"/>
        </w:rPr>
        <w:t>plikacja</w:t>
      </w:r>
      <w:r w:rsidR="00013BD6" w:rsidRPr="004E4AA7">
        <w:rPr>
          <w:rFonts w:eastAsia="Calibri"/>
          <w:sz w:val="20"/>
          <w:szCs w:val="20"/>
          <w:lang w:eastAsia="en-US"/>
        </w:rPr>
        <w:t xml:space="preserve"> </w:t>
      </w:r>
      <w:r w:rsidRPr="004E4AA7">
        <w:rPr>
          <w:rFonts w:eastAsia="Calibri"/>
          <w:sz w:val="20"/>
          <w:szCs w:val="20"/>
          <w:lang w:eastAsia="en-US"/>
        </w:rPr>
        <w:t>Lista Doradców Restrukturyzacyjnych – Organ Uprawniony</w:t>
      </w:r>
      <w:r w:rsidR="00013BD6" w:rsidRPr="004E4AA7">
        <w:rPr>
          <w:rFonts w:eastAsia="Calibri"/>
          <w:sz w:val="20"/>
          <w:szCs w:val="20"/>
          <w:lang w:eastAsia="en-US"/>
        </w:rPr>
        <w:t xml:space="preserve"> </w:t>
      </w:r>
      <w:r w:rsidR="0055399D" w:rsidRPr="004E4AA7">
        <w:rPr>
          <w:rFonts w:eastAsia="Calibri"/>
          <w:sz w:val="20"/>
          <w:szCs w:val="20"/>
          <w:lang w:eastAsia="en-US"/>
        </w:rPr>
        <w:t>wykorzystuje</w:t>
      </w:r>
      <w:r w:rsidR="00013BD6" w:rsidRPr="004E4AA7">
        <w:rPr>
          <w:rFonts w:eastAsia="Calibri"/>
          <w:sz w:val="20"/>
          <w:szCs w:val="20"/>
          <w:lang w:eastAsia="en-US"/>
        </w:rPr>
        <w:t xml:space="preserve"> </w:t>
      </w:r>
      <w:r w:rsidR="0055399D" w:rsidRPr="004E4AA7">
        <w:rPr>
          <w:rFonts w:eastAsia="Calibri"/>
          <w:sz w:val="20"/>
          <w:szCs w:val="20"/>
          <w:lang w:eastAsia="en-US"/>
        </w:rPr>
        <w:t>rol</w:t>
      </w:r>
      <w:r w:rsidR="00013BD6" w:rsidRPr="004E4AA7">
        <w:rPr>
          <w:rFonts w:eastAsia="Calibri"/>
          <w:sz w:val="20"/>
          <w:szCs w:val="20"/>
          <w:lang w:eastAsia="en-US"/>
        </w:rPr>
        <w:t xml:space="preserve">ę </w:t>
      </w:r>
      <w:r w:rsidR="0055399D" w:rsidRPr="004E4AA7">
        <w:rPr>
          <w:rFonts w:eastAsia="Calibri"/>
          <w:sz w:val="20"/>
          <w:szCs w:val="20"/>
          <w:lang w:eastAsia="en-US"/>
        </w:rPr>
        <w:t>ROLE_LDR_SYSOPER</w:t>
      </w:r>
      <w:r w:rsidR="005A2BBA" w:rsidRPr="004E4AA7">
        <w:rPr>
          <w:rFonts w:eastAsia="Calibri"/>
          <w:sz w:val="20"/>
          <w:szCs w:val="20"/>
          <w:lang w:eastAsia="en-US"/>
        </w:rPr>
        <w:t xml:space="preserve"> (</w:t>
      </w:r>
      <w:r w:rsidR="0055399D" w:rsidRPr="004E4AA7">
        <w:rPr>
          <w:rFonts w:eastAsia="Calibri"/>
          <w:sz w:val="20"/>
          <w:szCs w:val="20"/>
          <w:lang w:eastAsia="en-US"/>
        </w:rPr>
        <w:t>Inne czynności nie związane z administrowaniem</w:t>
      </w:r>
      <w:r w:rsidR="005A2BBA" w:rsidRPr="004E4AA7">
        <w:rPr>
          <w:rFonts w:eastAsia="Calibri"/>
          <w:sz w:val="20"/>
          <w:szCs w:val="20"/>
          <w:lang w:eastAsia="en-US"/>
        </w:rPr>
        <w:t>)</w:t>
      </w:r>
      <w:r w:rsidR="0055399D" w:rsidRPr="004E4AA7">
        <w:rPr>
          <w:rFonts w:eastAsia="Calibri"/>
          <w:sz w:val="20"/>
          <w:szCs w:val="20"/>
          <w:lang w:eastAsia="en-US"/>
        </w:rPr>
        <w:t xml:space="preserve">. </w:t>
      </w:r>
    </w:p>
    <w:p w14:paraId="3D4FE42A" w14:textId="77777777" w:rsidR="0055399D" w:rsidRPr="004E4AA7" w:rsidRDefault="0055399D" w:rsidP="000D3B07">
      <w:pPr>
        <w:spacing w:before="120" w:after="120"/>
        <w:ind w:left="426"/>
        <w:contextualSpacing/>
        <w:jc w:val="both"/>
        <w:rPr>
          <w:rFonts w:eastAsia="Calibri"/>
          <w:sz w:val="20"/>
          <w:szCs w:val="20"/>
          <w:lang w:eastAsia="en-US"/>
        </w:rPr>
      </w:pPr>
    </w:p>
    <w:p w14:paraId="3CF10190" w14:textId="77F68167" w:rsidR="0055399D" w:rsidRPr="004E4AA7" w:rsidRDefault="0055399D"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Aplikacja </w:t>
      </w:r>
      <w:r w:rsidR="00DE586C" w:rsidRPr="004E4AA7">
        <w:rPr>
          <w:rFonts w:eastAsia="Calibri"/>
          <w:sz w:val="20"/>
          <w:szCs w:val="20"/>
          <w:lang w:eastAsia="en-US"/>
        </w:rPr>
        <w:t xml:space="preserve">Lista Doradców Restrukturyzacyjnych – Organ Uprawniony </w:t>
      </w:r>
      <w:r w:rsidRPr="004E4AA7">
        <w:rPr>
          <w:rFonts w:eastAsia="Calibri"/>
          <w:sz w:val="20"/>
          <w:szCs w:val="20"/>
          <w:lang w:eastAsia="en-US"/>
        </w:rPr>
        <w:t>umożliwia prowadzenie listy doradców restrukturyzacyjnych obejmując</w:t>
      </w:r>
      <w:r w:rsidR="005A2BBA" w:rsidRPr="004E4AA7">
        <w:rPr>
          <w:rFonts w:eastAsia="Calibri"/>
          <w:sz w:val="20"/>
          <w:szCs w:val="20"/>
          <w:lang w:eastAsia="en-US"/>
        </w:rPr>
        <w:t>ej</w:t>
      </w:r>
      <w:r w:rsidRPr="004E4AA7">
        <w:rPr>
          <w:rFonts w:eastAsia="Calibri"/>
          <w:sz w:val="20"/>
          <w:szCs w:val="20"/>
          <w:lang w:eastAsia="en-US"/>
        </w:rPr>
        <w:t xml:space="preserve"> zarówno osoby, którym przyznano licencję doradcy </w:t>
      </w:r>
      <w:r w:rsidRPr="004E4AA7">
        <w:rPr>
          <w:rFonts w:eastAsia="Calibri"/>
          <w:sz w:val="20"/>
          <w:szCs w:val="20"/>
          <w:lang w:eastAsia="en-US"/>
        </w:rPr>
        <w:lastRenderedPageBreak/>
        <w:t>restrukturyzacyjnego, jak również osoby posiadające decyzję o uznaniu kwalifikacji w  zawodzie, przyznaną na podstawie odrębnych przepisów.</w:t>
      </w:r>
    </w:p>
    <w:p w14:paraId="04D5D725" w14:textId="77777777" w:rsidR="0055399D" w:rsidRPr="004E4AA7" w:rsidRDefault="0055399D" w:rsidP="000D3B07">
      <w:pPr>
        <w:spacing w:before="120" w:after="120"/>
        <w:ind w:left="426"/>
        <w:contextualSpacing/>
        <w:jc w:val="both"/>
        <w:rPr>
          <w:rFonts w:eastAsia="Calibri"/>
          <w:sz w:val="20"/>
          <w:szCs w:val="20"/>
          <w:lang w:eastAsia="en-US"/>
        </w:rPr>
      </w:pPr>
    </w:p>
    <w:p w14:paraId="0F96DCDB" w14:textId="5E612834" w:rsidR="061E1847" w:rsidRPr="004E4AA7" w:rsidRDefault="0055399D" w:rsidP="000D3B07">
      <w:pPr>
        <w:spacing w:before="120" w:after="120"/>
        <w:ind w:left="426"/>
        <w:contextualSpacing/>
        <w:jc w:val="both"/>
        <w:rPr>
          <w:rFonts w:eastAsia="Calibri"/>
          <w:sz w:val="20"/>
          <w:szCs w:val="20"/>
          <w:lang w:eastAsia="en-US"/>
        </w:rPr>
      </w:pPr>
      <w:r w:rsidRPr="004E4AA7">
        <w:rPr>
          <w:rFonts w:eastAsia="Calibri"/>
          <w:sz w:val="20"/>
          <w:szCs w:val="20"/>
          <w:lang w:eastAsia="en-US"/>
        </w:rPr>
        <w:t xml:space="preserve">Aplikacja </w:t>
      </w:r>
      <w:r w:rsidR="00DE586C" w:rsidRPr="004E4AA7">
        <w:rPr>
          <w:rFonts w:eastAsia="Calibri"/>
          <w:sz w:val="20"/>
          <w:szCs w:val="20"/>
          <w:lang w:eastAsia="en-US"/>
        </w:rPr>
        <w:t xml:space="preserve">Lista Doradców Restrukturyzacyjnych – Organ Uprawniony </w:t>
      </w:r>
      <w:r w:rsidRPr="004E4AA7">
        <w:rPr>
          <w:rFonts w:eastAsia="Calibri"/>
          <w:sz w:val="20"/>
          <w:szCs w:val="20"/>
          <w:lang w:eastAsia="en-US"/>
        </w:rPr>
        <w:t>umożliwia</w:t>
      </w:r>
      <w:r w:rsidR="005A2BBA" w:rsidRPr="004E4AA7">
        <w:rPr>
          <w:rFonts w:eastAsia="Calibri"/>
          <w:sz w:val="20"/>
          <w:szCs w:val="20"/>
          <w:lang w:eastAsia="en-US"/>
        </w:rPr>
        <w:t xml:space="preserve"> </w:t>
      </w:r>
      <w:r w:rsidRPr="004E4AA7">
        <w:rPr>
          <w:rFonts w:eastAsia="Calibri"/>
          <w:sz w:val="20"/>
          <w:szCs w:val="20"/>
          <w:lang w:eastAsia="en-US"/>
        </w:rPr>
        <w:t>wyszukanie</w:t>
      </w:r>
      <w:r w:rsidR="005A2BBA" w:rsidRPr="004E4AA7">
        <w:rPr>
          <w:rFonts w:eastAsia="Calibri"/>
          <w:sz w:val="20"/>
          <w:szCs w:val="20"/>
          <w:lang w:eastAsia="en-US"/>
        </w:rPr>
        <w:t xml:space="preserve"> </w:t>
      </w:r>
      <w:r w:rsidRPr="004E4AA7">
        <w:rPr>
          <w:rFonts w:eastAsia="Calibri"/>
          <w:sz w:val="20"/>
          <w:szCs w:val="20"/>
          <w:lang w:eastAsia="en-US"/>
        </w:rPr>
        <w:t>doradców z listy doradców restrukturyzacyjnych wg kryteriów takich,</w:t>
      </w:r>
      <w:r w:rsidR="005A2BBA" w:rsidRPr="004E4AA7">
        <w:rPr>
          <w:rFonts w:eastAsia="Calibri"/>
          <w:sz w:val="20"/>
          <w:szCs w:val="20"/>
          <w:lang w:eastAsia="en-US"/>
        </w:rPr>
        <w:t xml:space="preserve"> </w:t>
      </w:r>
      <w:r w:rsidRPr="004E4AA7">
        <w:rPr>
          <w:rFonts w:eastAsia="Calibri"/>
          <w:sz w:val="20"/>
          <w:szCs w:val="20"/>
          <w:lang w:eastAsia="en-US"/>
        </w:rPr>
        <w:t>jak</w:t>
      </w:r>
      <w:r w:rsidR="005A2BBA" w:rsidRPr="004E4AA7">
        <w:rPr>
          <w:rFonts w:eastAsia="Calibri"/>
          <w:sz w:val="20"/>
          <w:szCs w:val="20"/>
          <w:lang w:eastAsia="en-US"/>
        </w:rPr>
        <w:t xml:space="preserve"> </w:t>
      </w:r>
      <w:r w:rsidRPr="004E4AA7">
        <w:rPr>
          <w:rFonts w:eastAsia="Calibri"/>
          <w:sz w:val="20"/>
          <w:szCs w:val="20"/>
          <w:lang w:eastAsia="en-US"/>
        </w:rPr>
        <w:t>np.:</w:t>
      </w:r>
      <w:r w:rsidR="005A2BBA" w:rsidRPr="004E4AA7">
        <w:rPr>
          <w:rFonts w:eastAsia="Calibri"/>
          <w:sz w:val="20"/>
          <w:szCs w:val="20"/>
          <w:lang w:eastAsia="en-US"/>
        </w:rPr>
        <w:t xml:space="preserve"> </w:t>
      </w:r>
      <w:r w:rsidR="00E31172" w:rsidRPr="004E4AA7">
        <w:rPr>
          <w:rFonts w:eastAsia="Calibri"/>
          <w:sz w:val="20"/>
          <w:szCs w:val="20"/>
          <w:lang w:eastAsia="en-US"/>
        </w:rPr>
        <w:t>n</w:t>
      </w:r>
      <w:r w:rsidRPr="004E4AA7">
        <w:rPr>
          <w:rFonts w:eastAsia="Calibri"/>
          <w:sz w:val="20"/>
          <w:szCs w:val="20"/>
          <w:lang w:eastAsia="en-US"/>
        </w:rPr>
        <w:t>azwisko,</w:t>
      </w:r>
      <w:r w:rsidR="00E31172" w:rsidRPr="004E4AA7">
        <w:rPr>
          <w:rFonts w:eastAsia="Calibri"/>
          <w:sz w:val="20"/>
          <w:szCs w:val="20"/>
          <w:lang w:eastAsia="en-US"/>
        </w:rPr>
        <w:t xml:space="preserve"> m</w:t>
      </w:r>
      <w:r w:rsidRPr="004E4AA7">
        <w:rPr>
          <w:rFonts w:eastAsia="Calibri"/>
          <w:sz w:val="20"/>
          <w:szCs w:val="20"/>
          <w:lang w:eastAsia="en-US"/>
        </w:rPr>
        <w:t>iejscowość,</w:t>
      </w:r>
      <w:r w:rsidR="00E31172" w:rsidRPr="004E4AA7">
        <w:rPr>
          <w:rFonts w:eastAsia="Calibri"/>
          <w:sz w:val="20"/>
          <w:szCs w:val="20"/>
          <w:lang w:eastAsia="en-US"/>
        </w:rPr>
        <w:t xml:space="preserve"> n</w:t>
      </w:r>
      <w:r w:rsidRPr="004E4AA7">
        <w:rPr>
          <w:rFonts w:eastAsia="Calibri"/>
          <w:sz w:val="20"/>
          <w:szCs w:val="20"/>
          <w:lang w:eastAsia="en-US"/>
        </w:rPr>
        <w:t>umer licencji/decyzji o uznaniu kwalifikacji,</w:t>
      </w:r>
      <w:r w:rsidR="00E31172" w:rsidRPr="004E4AA7">
        <w:rPr>
          <w:rFonts w:eastAsia="Calibri"/>
          <w:sz w:val="20"/>
          <w:szCs w:val="20"/>
          <w:lang w:eastAsia="en-US"/>
        </w:rPr>
        <w:t xml:space="preserve"> l</w:t>
      </w:r>
      <w:r w:rsidRPr="004E4AA7">
        <w:rPr>
          <w:rFonts w:eastAsia="Calibri"/>
          <w:sz w:val="20"/>
          <w:szCs w:val="20"/>
          <w:lang w:eastAsia="en-US"/>
        </w:rPr>
        <w:t>ista postępowań (od–do)</w:t>
      </w:r>
      <w:r w:rsidR="00E31172" w:rsidRPr="004E4AA7">
        <w:rPr>
          <w:rFonts w:eastAsia="Calibri"/>
          <w:sz w:val="20"/>
          <w:szCs w:val="20"/>
          <w:lang w:eastAsia="en-US"/>
        </w:rPr>
        <w:t xml:space="preserve">. </w:t>
      </w:r>
      <w:r w:rsidRPr="004E4AA7">
        <w:rPr>
          <w:rFonts w:eastAsia="Calibri"/>
          <w:sz w:val="20"/>
          <w:szCs w:val="20"/>
          <w:lang w:eastAsia="en-US"/>
        </w:rPr>
        <w:t>Dodatkowymi parametrami, w formie pól wyboru,</w:t>
      </w:r>
      <w:r w:rsidR="00E31172" w:rsidRPr="004E4AA7">
        <w:rPr>
          <w:rFonts w:eastAsia="Calibri"/>
          <w:sz w:val="20"/>
          <w:szCs w:val="20"/>
          <w:lang w:eastAsia="en-US"/>
        </w:rPr>
        <w:t xml:space="preserve"> </w:t>
      </w:r>
      <w:r w:rsidRPr="004E4AA7">
        <w:rPr>
          <w:rFonts w:eastAsia="Calibri"/>
          <w:sz w:val="20"/>
          <w:szCs w:val="20"/>
          <w:lang w:eastAsia="en-US"/>
        </w:rPr>
        <w:t>jakie można zastosować podczas wyszukiwania doradców są kryteria:</w:t>
      </w:r>
      <w:r w:rsidR="00E31172" w:rsidRPr="004E4AA7">
        <w:rPr>
          <w:rFonts w:eastAsia="Calibri"/>
          <w:sz w:val="20"/>
          <w:szCs w:val="20"/>
          <w:lang w:eastAsia="en-US"/>
        </w:rPr>
        <w:t xml:space="preserve"> „</w:t>
      </w:r>
      <w:r w:rsidRPr="004E4AA7">
        <w:rPr>
          <w:rFonts w:eastAsia="Calibri"/>
          <w:sz w:val="20"/>
          <w:szCs w:val="20"/>
          <w:lang w:eastAsia="en-US"/>
        </w:rPr>
        <w:t>Posiada tytuł kwalifikowanego doradcy restrukturyzacyjnego</w:t>
      </w:r>
      <w:r w:rsidR="00E31172" w:rsidRPr="004E4AA7">
        <w:rPr>
          <w:rFonts w:eastAsia="Calibri"/>
          <w:sz w:val="20"/>
          <w:szCs w:val="20"/>
          <w:lang w:eastAsia="en-US"/>
        </w:rPr>
        <w:t>”, „</w:t>
      </w:r>
      <w:r w:rsidRPr="004E4AA7">
        <w:rPr>
          <w:rFonts w:eastAsia="Calibri"/>
          <w:sz w:val="20"/>
          <w:szCs w:val="20"/>
          <w:lang w:eastAsia="en-US"/>
        </w:rPr>
        <w:t>Ma zawieszone uprawnienia z</w:t>
      </w:r>
      <w:r w:rsidR="00E31172" w:rsidRPr="004E4AA7">
        <w:rPr>
          <w:rFonts w:eastAsia="Calibri"/>
          <w:sz w:val="20"/>
          <w:szCs w:val="20"/>
          <w:lang w:eastAsia="en-US"/>
        </w:rPr>
        <w:t xml:space="preserve"> </w:t>
      </w:r>
      <w:r w:rsidRPr="004E4AA7">
        <w:rPr>
          <w:rFonts w:eastAsia="Calibri"/>
          <w:sz w:val="20"/>
          <w:szCs w:val="20"/>
          <w:lang w:eastAsia="en-US"/>
        </w:rPr>
        <w:t>licencji</w:t>
      </w:r>
      <w:r w:rsidR="00E31172" w:rsidRPr="004E4AA7">
        <w:rPr>
          <w:rFonts w:eastAsia="Calibri"/>
          <w:sz w:val="20"/>
          <w:szCs w:val="20"/>
          <w:lang w:eastAsia="en-US"/>
        </w:rPr>
        <w:t>”, „</w:t>
      </w:r>
      <w:r w:rsidRPr="004E4AA7">
        <w:rPr>
          <w:rFonts w:eastAsia="Calibri"/>
          <w:sz w:val="20"/>
          <w:szCs w:val="20"/>
          <w:lang w:eastAsia="en-US"/>
        </w:rPr>
        <w:t>Posiada konto w</w:t>
      </w:r>
      <w:r w:rsidR="00E31172" w:rsidRPr="004E4AA7">
        <w:rPr>
          <w:rFonts w:eastAsia="Calibri"/>
          <w:sz w:val="20"/>
          <w:szCs w:val="20"/>
          <w:lang w:eastAsia="en-US"/>
        </w:rPr>
        <w:t xml:space="preserve"> </w:t>
      </w:r>
      <w:r w:rsidRPr="004E4AA7">
        <w:rPr>
          <w:rFonts w:eastAsia="Calibri"/>
          <w:sz w:val="20"/>
          <w:szCs w:val="20"/>
          <w:lang w:eastAsia="en-US"/>
        </w:rPr>
        <w:t>Module Tożsamość</w:t>
      </w:r>
      <w:r w:rsidR="00E31172" w:rsidRPr="004E4AA7">
        <w:rPr>
          <w:rFonts w:eastAsia="Calibri"/>
          <w:sz w:val="20"/>
          <w:szCs w:val="20"/>
          <w:lang w:eastAsia="en-US"/>
        </w:rPr>
        <w:t>”.</w:t>
      </w:r>
    </w:p>
    <w:p w14:paraId="1BA53ACA" w14:textId="3122BCD5" w:rsidR="00A30967" w:rsidRPr="004E4AA7" w:rsidRDefault="00503345" w:rsidP="00503345">
      <w:pPr>
        <w:pStyle w:val="Nagowek3"/>
        <w:rPr>
          <w:rStyle w:val="Wyrnienieintensywne"/>
          <w:rFonts w:ascii="Times New Roman" w:hAnsi="Times New Roman"/>
          <w:i w:val="0"/>
          <w:iCs w:val="0"/>
          <w:color w:val="auto"/>
        </w:rPr>
      </w:pPr>
      <w:bookmarkStart w:id="37" w:name="_Toc452977419"/>
      <w:bookmarkStart w:id="38" w:name="_Toc478045320"/>
      <w:bookmarkStart w:id="39" w:name="_Toc134561908"/>
      <w:bookmarkStart w:id="40" w:name="_Toc134563672"/>
      <w:r w:rsidRPr="004E4AA7">
        <w:rPr>
          <w:rStyle w:val="Wyrnienieintensywne"/>
          <w:rFonts w:ascii="Times New Roman" w:hAnsi="Times New Roman"/>
          <w:i w:val="0"/>
          <w:iCs w:val="0"/>
          <w:color w:val="auto"/>
        </w:rPr>
        <w:t xml:space="preserve">4 </w:t>
      </w:r>
      <w:r w:rsidR="00AF3A04" w:rsidRPr="004E4AA7">
        <w:rPr>
          <w:rStyle w:val="Wyrnienieintensywne"/>
          <w:rFonts w:ascii="Times New Roman" w:hAnsi="Times New Roman"/>
          <w:i w:val="0"/>
          <w:iCs w:val="0"/>
          <w:color w:val="auto"/>
        </w:rPr>
        <w:t>E</w:t>
      </w:r>
      <w:r w:rsidR="00A30967" w:rsidRPr="004E4AA7">
        <w:rPr>
          <w:rStyle w:val="Wyrnienieintensywne"/>
          <w:rFonts w:ascii="Times New Roman" w:hAnsi="Times New Roman"/>
          <w:i w:val="0"/>
          <w:iCs w:val="0"/>
          <w:color w:val="auto"/>
        </w:rPr>
        <w:t xml:space="preserve">-usługi w zakresie </w:t>
      </w:r>
      <w:bookmarkEnd w:id="37"/>
      <w:bookmarkEnd w:id="38"/>
      <w:r w:rsidR="00AF3A04" w:rsidRPr="004E4AA7">
        <w:rPr>
          <w:rStyle w:val="Wyrnienieintensywne"/>
          <w:rFonts w:ascii="Times New Roman" w:hAnsi="Times New Roman"/>
          <w:i w:val="0"/>
          <w:iCs w:val="0"/>
          <w:color w:val="auto"/>
        </w:rPr>
        <w:t>Krajowego Rejestru Zadłużonych</w:t>
      </w:r>
      <w:bookmarkEnd w:id="39"/>
      <w:bookmarkEnd w:id="40"/>
      <w:r w:rsidR="00A30967" w:rsidRPr="004E4AA7">
        <w:rPr>
          <w:rStyle w:val="Wyrnienieintensywne"/>
          <w:rFonts w:ascii="Times New Roman" w:hAnsi="Times New Roman"/>
          <w:i w:val="0"/>
          <w:iCs w:val="0"/>
          <w:color w:val="auto"/>
        </w:rPr>
        <w:t xml:space="preserve"> </w:t>
      </w:r>
    </w:p>
    <w:p w14:paraId="0C7334EF" w14:textId="77777777" w:rsidR="00AF3A04" w:rsidRPr="004E4AA7" w:rsidRDefault="00A30967" w:rsidP="000D3B07">
      <w:pPr>
        <w:spacing w:before="120" w:after="120"/>
        <w:ind w:firstLine="432"/>
        <w:jc w:val="both"/>
        <w:rPr>
          <w:sz w:val="20"/>
        </w:rPr>
      </w:pPr>
      <w:r w:rsidRPr="004E4AA7">
        <w:rPr>
          <w:sz w:val="20"/>
        </w:rPr>
        <w:t>System</w:t>
      </w:r>
      <w:r w:rsidR="00AF3A04" w:rsidRPr="004E4AA7">
        <w:rPr>
          <w:sz w:val="20"/>
        </w:rPr>
        <w:t xml:space="preserve"> KRZ od dnia 1 grudnia 2021 r. </w:t>
      </w:r>
      <w:r w:rsidRPr="004E4AA7">
        <w:rPr>
          <w:sz w:val="20"/>
        </w:rPr>
        <w:t>udostępnia e-usługi, określone w przepisach ustawowych:</w:t>
      </w:r>
    </w:p>
    <w:p w14:paraId="44756E3E" w14:textId="7A8E9E66" w:rsidR="00AF3A04"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 xml:space="preserve">Przeglądanie tablicy obwieszczeń </w:t>
      </w:r>
      <w:r w:rsidR="00645ACE" w:rsidRPr="004E4AA7">
        <w:rPr>
          <w:rFonts w:eastAsia="Calibri"/>
          <w:sz w:val="20"/>
          <w:szCs w:val="20"/>
          <w:lang w:eastAsia="en-US"/>
        </w:rPr>
        <w:t>(</w:t>
      </w:r>
      <w:hyperlink r:id="rId11" w:history="1">
        <w:r w:rsidR="00D5392B" w:rsidRPr="004E4AA7">
          <w:rPr>
            <w:rStyle w:val="Hipercze"/>
            <w:rFonts w:eastAsia="Calibri"/>
            <w:sz w:val="20"/>
            <w:szCs w:val="20"/>
            <w:lang w:eastAsia="en-US"/>
          </w:rPr>
          <w:t>https://krz.ms.gov.pl/</w:t>
        </w:r>
      </w:hyperlink>
      <w:r w:rsidR="00645ACE" w:rsidRPr="004E4AA7">
        <w:rPr>
          <w:rFonts w:eastAsia="Calibri"/>
          <w:sz w:val="20"/>
          <w:szCs w:val="20"/>
          <w:lang w:eastAsia="en-US"/>
        </w:rPr>
        <w:t xml:space="preserve">) </w:t>
      </w:r>
      <w:r w:rsidR="00A21981" w:rsidRPr="004E4AA7">
        <w:rPr>
          <w:rFonts w:eastAsia="Calibri"/>
          <w:sz w:val="20"/>
          <w:szCs w:val="20"/>
          <w:lang w:eastAsia="en-US"/>
        </w:rPr>
        <w:t xml:space="preserve">bez konieczności logowania </w:t>
      </w:r>
      <w:r w:rsidRPr="004E4AA7">
        <w:rPr>
          <w:rFonts w:eastAsia="Calibri"/>
          <w:sz w:val="20"/>
          <w:szCs w:val="20"/>
          <w:lang w:eastAsia="en-US"/>
        </w:rPr>
        <w:t>z wykorzystaniem kategorii takich jak: podmioty niebędących osobą fizyczną, osoby prowadzące działalność gospodarczą, osoby nieprowadzące działalności gospodarczej, po sygnaturze postępowania – z wykorzystaniem przedziału daty obwieszczenia;</w:t>
      </w:r>
    </w:p>
    <w:p w14:paraId="7E74DD5F" w14:textId="10C35949" w:rsidR="00AF3A04"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Wyszukiwanie podmiotów niebędących osobą fizyczną, osób prowadzących działalność gospodarczą, osób nieprowadzących działalności gospodarczej, po sygnaturze postępowania</w:t>
      </w:r>
      <w:r w:rsidR="00A21981" w:rsidRPr="004E4AA7">
        <w:rPr>
          <w:rFonts w:eastAsia="Calibri"/>
          <w:sz w:val="20"/>
          <w:szCs w:val="20"/>
          <w:lang w:eastAsia="en-US"/>
        </w:rPr>
        <w:t>, bez konieczności logowania do systemu</w:t>
      </w:r>
      <w:r w:rsidRPr="004E4AA7">
        <w:rPr>
          <w:rFonts w:eastAsia="Calibri"/>
          <w:sz w:val="20"/>
          <w:szCs w:val="20"/>
          <w:lang w:eastAsia="en-US"/>
        </w:rPr>
        <w:t>;</w:t>
      </w:r>
    </w:p>
    <w:p w14:paraId="372A3689" w14:textId="47648EFA" w:rsidR="00AF3A04"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Wyszukiwanie wspólników spółek osobowych: podmiotów niebędących osobą fizyczną bądź osób fizycznych</w:t>
      </w:r>
      <w:r w:rsidR="00A21981" w:rsidRPr="004E4AA7">
        <w:rPr>
          <w:rFonts w:eastAsia="Calibri"/>
          <w:sz w:val="20"/>
          <w:szCs w:val="20"/>
          <w:lang w:eastAsia="en-US"/>
        </w:rPr>
        <w:t xml:space="preserve"> bez konieczności logowania do systemu</w:t>
      </w:r>
      <w:r w:rsidRPr="004E4AA7">
        <w:rPr>
          <w:rFonts w:eastAsia="Calibri"/>
          <w:sz w:val="20"/>
          <w:szCs w:val="20"/>
          <w:lang w:eastAsia="en-US"/>
        </w:rPr>
        <w:t>;</w:t>
      </w:r>
    </w:p>
    <w:p w14:paraId="3F2C8B1A" w14:textId="31C04B70" w:rsidR="00AF3A04"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Wyszukiwanie składników masy upadłości po parametrach składnika, podmiotu, syndyka, sygnatury i numeru</w:t>
      </w:r>
      <w:r w:rsidR="00A21981" w:rsidRPr="004E4AA7">
        <w:rPr>
          <w:rFonts w:eastAsia="Calibri"/>
          <w:sz w:val="20"/>
          <w:szCs w:val="20"/>
          <w:lang w:eastAsia="en-US"/>
        </w:rPr>
        <w:t xml:space="preserve"> bez konieczności logowania do systemu</w:t>
      </w:r>
      <w:r w:rsidRPr="004E4AA7">
        <w:rPr>
          <w:rFonts w:eastAsia="Calibri"/>
          <w:sz w:val="20"/>
          <w:szCs w:val="20"/>
          <w:lang w:eastAsia="en-US"/>
        </w:rPr>
        <w:t>;</w:t>
      </w:r>
    </w:p>
    <w:p w14:paraId="28F58536" w14:textId="64E057EE" w:rsidR="00AF3A04"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Wyszukiwanie osoby posiadającej licencję doradcy restrukturyzacyjnego na podstawie kryteriów wyszukiwania w wybranych polach panelu wyszukiwania</w:t>
      </w:r>
      <w:r w:rsidR="00C5559F" w:rsidRPr="004E4AA7">
        <w:rPr>
          <w:rFonts w:eastAsia="Calibri"/>
          <w:sz w:val="20"/>
          <w:szCs w:val="20"/>
          <w:lang w:eastAsia="en-US"/>
        </w:rPr>
        <w:t xml:space="preserve"> bez konieczności logowania do systemu</w:t>
      </w:r>
      <w:r w:rsidRPr="004E4AA7">
        <w:rPr>
          <w:rFonts w:eastAsia="Calibri"/>
          <w:sz w:val="20"/>
          <w:szCs w:val="20"/>
          <w:lang w:eastAsia="en-US"/>
        </w:rPr>
        <w:t>;</w:t>
      </w:r>
    </w:p>
    <w:p w14:paraId="1BFF65CD" w14:textId="34890BA8" w:rsidR="006A021B" w:rsidRPr="004E4AA7" w:rsidRDefault="006A021B">
      <w:pPr>
        <w:numPr>
          <w:ilvl w:val="0"/>
          <w:numId w:val="44"/>
        </w:numPr>
        <w:spacing w:before="120" w:after="120"/>
        <w:contextualSpacing/>
        <w:jc w:val="both"/>
        <w:rPr>
          <w:rFonts w:eastAsia="Calibri"/>
          <w:sz w:val="20"/>
          <w:szCs w:val="20"/>
          <w:lang w:eastAsia="en-US"/>
        </w:rPr>
      </w:pPr>
      <w:r w:rsidRPr="004E4AA7">
        <w:rPr>
          <w:sz w:val="20"/>
        </w:rPr>
        <w:t xml:space="preserve">Możliwość samodzielnego pobierania z systemu teleinformatycznego odpisów dokumentów zgromadzonych w aktach postępowania, </w:t>
      </w:r>
      <w:r w:rsidRPr="004E4AA7">
        <w:rPr>
          <w:rFonts w:eastAsia="Calibri"/>
          <w:sz w:val="20"/>
          <w:lang w:eastAsia="en-US"/>
        </w:rPr>
        <w:t xml:space="preserve">mającego moc dokumentu wydawanego przez sąd, z możliwością samodzielnego wydrukowania i możliwością weryfikacji </w:t>
      </w:r>
      <w:r w:rsidR="00645ACE" w:rsidRPr="004E4AA7">
        <w:rPr>
          <w:rFonts w:eastAsia="Calibri"/>
          <w:sz w:val="20"/>
          <w:lang w:eastAsia="en-US"/>
        </w:rPr>
        <w:t xml:space="preserve">autentyczności </w:t>
      </w:r>
      <w:r w:rsidRPr="004E4AA7">
        <w:rPr>
          <w:rFonts w:eastAsia="Calibri"/>
          <w:sz w:val="20"/>
          <w:lang w:eastAsia="en-US"/>
        </w:rPr>
        <w:t>wydruku</w:t>
      </w:r>
      <w:r w:rsidR="00265822" w:rsidRPr="004E4AA7">
        <w:rPr>
          <w:rFonts w:eastAsia="Calibri"/>
          <w:sz w:val="20"/>
          <w:lang w:eastAsia="en-US"/>
        </w:rPr>
        <w:t xml:space="preserve"> dzięki identyfikatorowi dokumentu</w:t>
      </w:r>
      <w:r w:rsidR="00C5559F" w:rsidRPr="004E4AA7">
        <w:rPr>
          <w:rFonts w:eastAsia="Calibri"/>
          <w:sz w:val="20"/>
          <w:lang w:eastAsia="en-US"/>
        </w:rPr>
        <w:t>;</w:t>
      </w:r>
    </w:p>
    <w:p w14:paraId="202BFEB6" w14:textId="452D1867" w:rsidR="006A021B" w:rsidRPr="004E4AA7" w:rsidRDefault="00AF3A04">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E</w:t>
      </w:r>
      <w:r w:rsidRPr="004E4AA7">
        <w:rPr>
          <w:sz w:val="20"/>
        </w:rPr>
        <w:t>lektroniczna komunikacja z sądem i sędzią-komisarzem</w:t>
      </w:r>
      <w:r w:rsidR="00C5559F" w:rsidRPr="004E4AA7">
        <w:rPr>
          <w:sz w:val="20"/>
        </w:rPr>
        <w:t xml:space="preserve"> po założeniu konta w systemie teleinformatycznym Tożsamość (</w:t>
      </w:r>
      <w:hyperlink r:id="rId12" w:history="1">
        <w:r w:rsidR="005B0941" w:rsidRPr="004E4AA7">
          <w:rPr>
            <w:rStyle w:val="Hipercze"/>
            <w:sz w:val="20"/>
          </w:rPr>
          <w:t>https://prs.ms.gov.pl/</w:t>
        </w:r>
      </w:hyperlink>
      <w:r w:rsidR="00C5559F" w:rsidRPr="004E4AA7">
        <w:rPr>
          <w:sz w:val="20"/>
        </w:rPr>
        <w:t>)</w:t>
      </w:r>
      <w:r w:rsidR="003C6D1D" w:rsidRPr="004E4AA7">
        <w:rPr>
          <w:sz w:val="20"/>
        </w:rPr>
        <w:t>;</w:t>
      </w:r>
    </w:p>
    <w:p w14:paraId="6C9682E0" w14:textId="4427334A" w:rsidR="006A2CDD" w:rsidRPr="004E4AA7" w:rsidRDefault="006A2CDD">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Składanie pism i wniosków</w:t>
      </w:r>
      <w:r w:rsidR="003C6D1D" w:rsidRPr="004E4AA7">
        <w:rPr>
          <w:rFonts w:eastAsia="Calibri"/>
          <w:sz w:val="20"/>
          <w:szCs w:val="20"/>
          <w:lang w:eastAsia="en-US"/>
        </w:rPr>
        <w:t xml:space="preserve"> </w:t>
      </w:r>
      <w:r w:rsidR="003C6D1D" w:rsidRPr="004E4AA7">
        <w:rPr>
          <w:sz w:val="20"/>
        </w:rPr>
        <w:t>po założeniu konta w systemie teleinformatycznym Tożsamość</w:t>
      </w:r>
      <w:r w:rsidRPr="004E4AA7">
        <w:rPr>
          <w:rFonts w:eastAsia="Calibri"/>
          <w:sz w:val="20"/>
          <w:szCs w:val="20"/>
          <w:lang w:eastAsia="en-US"/>
        </w:rPr>
        <w:t>;</w:t>
      </w:r>
    </w:p>
    <w:p w14:paraId="78FAC37A" w14:textId="064C063E" w:rsidR="006A021B" w:rsidRPr="004E4AA7" w:rsidRDefault="006A021B">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D</w:t>
      </w:r>
      <w:r w:rsidR="00AF3A04" w:rsidRPr="004E4AA7">
        <w:rPr>
          <w:sz w:val="20"/>
        </w:rPr>
        <w:t>oręczenia elektroniczne</w:t>
      </w:r>
      <w:r w:rsidR="003C6D1D" w:rsidRPr="004E4AA7">
        <w:rPr>
          <w:sz w:val="20"/>
        </w:rPr>
        <w:t xml:space="preserve"> po założeniu konta w systemie teleinformatycznym Tożsamość</w:t>
      </w:r>
      <w:r w:rsidR="00AF3A04" w:rsidRPr="004E4AA7">
        <w:rPr>
          <w:sz w:val="20"/>
        </w:rPr>
        <w:t>;</w:t>
      </w:r>
    </w:p>
    <w:p w14:paraId="4080CE85" w14:textId="7D3B9DF7" w:rsidR="00AF3A04" w:rsidRPr="004E4AA7" w:rsidRDefault="006A021B">
      <w:pPr>
        <w:numPr>
          <w:ilvl w:val="0"/>
          <w:numId w:val="44"/>
        </w:numPr>
        <w:spacing w:before="120" w:after="120"/>
        <w:contextualSpacing/>
        <w:jc w:val="both"/>
        <w:rPr>
          <w:rFonts w:eastAsia="Calibri"/>
          <w:sz w:val="20"/>
          <w:szCs w:val="20"/>
          <w:lang w:eastAsia="en-US"/>
        </w:rPr>
      </w:pPr>
      <w:r w:rsidRPr="004E4AA7">
        <w:rPr>
          <w:rFonts w:eastAsia="Calibri"/>
          <w:sz w:val="20"/>
          <w:szCs w:val="20"/>
          <w:lang w:eastAsia="en-US"/>
        </w:rPr>
        <w:t>A</w:t>
      </w:r>
      <w:r w:rsidR="00AF3A04" w:rsidRPr="004E4AA7">
        <w:rPr>
          <w:sz w:val="20"/>
        </w:rPr>
        <w:t>utomatyczne dokonywanie obwieszczeń</w:t>
      </w:r>
      <w:r w:rsidRPr="004E4AA7">
        <w:rPr>
          <w:sz w:val="20"/>
        </w:rPr>
        <w:t>.</w:t>
      </w:r>
    </w:p>
    <w:p w14:paraId="73281625" w14:textId="77777777" w:rsidR="000C2FEC" w:rsidRPr="004E4AA7" w:rsidRDefault="000C2FEC" w:rsidP="000C2FEC">
      <w:pPr>
        <w:spacing w:before="120" w:after="120"/>
        <w:ind w:left="792"/>
        <w:contextualSpacing/>
        <w:jc w:val="both"/>
        <w:rPr>
          <w:rFonts w:eastAsia="Calibri"/>
          <w:sz w:val="20"/>
          <w:szCs w:val="20"/>
          <w:lang w:eastAsia="en-US"/>
        </w:rPr>
      </w:pPr>
    </w:p>
    <w:p w14:paraId="64969671" w14:textId="7E497040" w:rsidR="00A30967" w:rsidRPr="004E4AA7" w:rsidRDefault="00503345" w:rsidP="00503345">
      <w:pPr>
        <w:pStyle w:val="Nagowek3"/>
        <w:rPr>
          <w:rStyle w:val="Wyrnienieintensywne"/>
          <w:rFonts w:ascii="Times New Roman" w:hAnsi="Times New Roman"/>
          <w:i w:val="0"/>
          <w:iCs w:val="0"/>
          <w:color w:val="auto"/>
        </w:rPr>
      </w:pPr>
      <w:bookmarkStart w:id="41" w:name="_Toc452977422"/>
      <w:bookmarkStart w:id="42" w:name="_Toc478045323"/>
      <w:bookmarkStart w:id="43" w:name="_Toc134561909"/>
      <w:bookmarkStart w:id="44" w:name="_Toc134563673"/>
      <w:r w:rsidRPr="004E4AA7">
        <w:rPr>
          <w:rStyle w:val="Wyrnienieintensywne"/>
          <w:rFonts w:ascii="Times New Roman" w:hAnsi="Times New Roman"/>
          <w:i w:val="0"/>
          <w:iCs w:val="0"/>
          <w:color w:val="auto"/>
        </w:rPr>
        <w:t xml:space="preserve">5 </w:t>
      </w:r>
      <w:r w:rsidR="00A30967" w:rsidRPr="004E4AA7">
        <w:rPr>
          <w:rStyle w:val="Wyrnienieintensywne"/>
          <w:rFonts w:ascii="Times New Roman" w:hAnsi="Times New Roman"/>
          <w:i w:val="0"/>
          <w:iCs w:val="0"/>
          <w:color w:val="auto"/>
        </w:rPr>
        <w:t>Przewidywane kierunki rozwoju</w:t>
      </w:r>
      <w:bookmarkEnd w:id="41"/>
      <w:r w:rsidR="00A30967" w:rsidRPr="004E4AA7">
        <w:rPr>
          <w:rStyle w:val="Wyrnienieintensywne"/>
          <w:rFonts w:ascii="Times New Roman" w:hAnsi="Times New Roman"/>
          <w:i w:val="0"/>
          <w:iCs w:val="0"/>
          <w:color w:val="auto"/>
        </w:rPr>
        <w:t xml:space="preserve"> funkcjonalności</w:t>
      </w:r>
      <w:bookmarkEnd w:id="42"/>
      <w:bookmarkEnd w:id="43"/>
      <w:bookmarkEnd w:id="44"/>
    </w:p>
    <w:p w14:paraId="02F2A209" w14:textId="57525702" w:rsidR="003D243D" w:rsidRPr="004E4AA7" w:rsidRDefault="00A30967" w:rsidP="000D3B07">
      <w:pPr>
        <w:spacing w:before="120" w:after="120"/>
        <w:jc w:val="both"/>
        <w:rPr>
          <w:sz w:val="20"/>
          <w:szCs w:val="20"/>
        </w:rPr>
      </w:pPr>
      <w:r w:rsidRPr="004E4AA7">
        <w:rPr>
          <w:sz w:val="20"/>
          <w:szCs w:val="20"/>
        </w:rPr>
        <w:t>W latach 2</w:t>
      </w:r>
      <w:r w:rsidR="00006C2E" w:rsidRPr="004E4AA7">
        <w:rPr>
          <w:sz w:val="20"/>
          <w:szCs w:val="20"/>
        </w:rPr>
        <w:t>02</w:t>
      </w:r>
      <w:r w:rsidR="26A5A6F1" w:rsidRPr="004E4AA7">
        <w:rPr>
          <w:sz w:val="20"/>
          <w:szCs w:val="20"/>
        </w:rPr>
        <w:t>4</w:t>
      </w:r>
      <w:r w:rsidRPr="004E4AA7">
        <w:rPr>
          <w:sz w:val="20"/>
          <w:szCs w:val="20"/>
        </w:rPr>
        <w:t>–202</w:t>
      </w:r>
      <w:r w:rsidR="4915477A" w:rsidRPr="004E4AA7">
        <w:rPr>
          <w:sz w:val="20"/>
          <w:szCs w:val="20"/>
        </w:rPr>
        <w:t>8</w:t>
      </w:r>
      <w:r w:rsidRPr="004E4AA7">
        <w:rPr>
          <w:sz w:val="20"/>
          <w:szCs w:val="20"/>
        </w:rPr>
        <w:t xml:space="preserve"> przewidywany jest </w:t>
      </w:r>
      <w:r w:rsidR="0040644A" w:rsidRPr="004E4AA7">
        <w:rPr>
          <w:sz w:val="20"/>
          <w:szCs w:val="20"/>
        </w:rPr>
        <w:t xml:space="preserve">dalszy </w:t>
      </w:r>
      <w:r w:rsidRPr="004E4AA7">
        <w:rPr>
          <w:sz w:val="20"/>
          <w:szCs w:val="20"/>
        </w:rPr>
        <w:t xml:space="preserve">rozwój systemu </w:t>
      </w:r>
      <w:r w:rsidR="31065C18" w:rsidRPr="004E4AA7">
        <w:rPr>
          <w:sz w:val="20"/>
          <w:szCs w:val="20"/>
        </w:rPr>
        <w:t>KRZ</w:t>
      </w:r>
      <w:r w:rsidRPr="004E4AA7">
        <w:rPr>
          <w:sz w:val="20"/>
          <w:szCs w:val="20"/>
        </w:rPr>
        <w:t>.</w:t>
      </w:r>
      <w:r w:rsidR="34B90CC6" w:rsidRPr="004E4AA7">
        <w:rPr>
          <w:sz w:val="20"/>
          <w:szCs w:val="20"/>
        </w:rPr>
        <w:t xml:space="preserve"> </w:t>
      </w:r>
      <w:r w:rsidRPr="004E4AA7">
        <w:rPr>
          <w:sz w:val="20"/>
          <w:szCs w:val="20"/>
        </w:rPr>
        <w:t>Główne kierunki rozwoju obejm</w:t>
      </w:r>
      <w:r w:rsidR="003D243D" w:rsidRPr="004E4AA7">
        <w:rPr>
          <w:sz w:val="20"/>
          <w:szCs w:val="20"/>
        </w:rPr>
        <w:t>ą</w:t>
      </w:r>
      <w:r w:rsidR="00AA7F2C" w:rsidRPr="004E4AA7">
        <w:rPr>
          <w:sz w:val="20"/>
          <w:szCs w:val="20"/>
        </w:rPr>
        <w:t xml:space="preserve"> </w:t>
      </w:r>
      <w:r w:rsidR="00DB71F9" w:rsidRPr="004E4AA7">
        <w:rPr>
          <w:sz w:val="20"/>
          <w:szCs w:val="20"/>
        </w:rPr>
        <w:t xml:space="preserve">m.in. </w:t>
      </w:r>
      <w:r w:rsidR="00AA7F2C" w:rsidRPr="004E4AA7">
        <w:rPr>
          <w:sz w:val="20"/>
          <w:szCs w:val="20"/>
        </w:rPr>
        <w:t xml:space="preserve">następujące zagadnienia związane z ergonomią systemu, </w:t>
      </w:r>
      <w:r w:rsidR="00A56D2A" w:rsidRPr="004E4AA7">
        <w:rPr>
          <w:sz w:val="20"/>
          <w:szCs w:val="20"/>
        </w:rPr>
        <w:t>modernizacją istniejących funkcjonalności, dostosowania systemu do</w:t>
      </w:r>
      <w:r w:rsidR="0061247A" w:rsidRPr="004E4AA7">
        <w:rPr>
          <w:sz w:val="20"/>
          <w:szCs w:val="20"/>
        </w:rPr>
        <w:t xml:space="preserve"> zmian prawnych, które wystąpią we wskazanym okresie</w:t>
      </w:r>
      <w:r w:rsidR="00EC3844" w:rsidRPr="004E4AA7">
        <w:rPr>
          <w:sz w:val="20"/>
          <w:szCs w:val="20"/>
        </w:rPr>
        <w:t>, zwiększenie poziomu dostępności cyfrowej w zakresie wymaganymi przepisami prawa.</w:t>
      </w:r>
    </w:p>
    <w:p w14:paraId="3C0FF13F" w14:textId="77777777" w:rsidR="00D65C2A" w:rsidRPr="004E4AA7" w:rsidRDefault="00C71B3E">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Integracje z innymi systemami teleinformatycznymi</w:t>
      </w:r>
      <w:r w:rsidR="009F616E" w:rsidRPr="004E4AA7">
        <w:rPr>
          <w:rFonts w:ascii="Times New Roman" w:hAnsi="Times New Roman" w:cs="Times New Roman"/>
          <w:sz w:val="20"/>
          <w:szCs w:val="20"/>
        </w:rPr>
        <w:t>, w tym</w:t>
      </w:r>
      <w:r w:rsidR="00D65C2A" w:rsidRPr="004E4AA7">
        <w:rPr>
          <w:rFonts w:ascii="Times New Roman" w:hAnsi="Times New Roman" w:cs="Times New Roman"/>
          <w:sz w:val="20"/>
          <w:szCs w:val="20"/>
        </w:rPr>
        <w:t>:</w:t>
      </w:r>
    </w:p>
    <w:p w14:paraId="2A085B45" w14:textId="77777777" w:rsidR="00D65C2A" w:rsidRPr="004E4AA7" w:rsidRDefault="00D14131">
      <w:pPr>
        <w:pStyle w:val="Akapitzlist"/>
        <w:numPr>
          <w:ilvl w:val="2"/>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integracja z systemem Elektroniczny Nadawca</w:t>
      </w:r>
      <w:r w:rsidR="009F616E" w:rsidRPr="004E4AA7">
        <w:rPr>
          <w:rFonts w:ascii="Times New Roman" w:hAnsi="Times New Roman" w:cs="Times New Roman"/>
          <w:sz w:val="20"/>
          <w:szCs w:val="20"/>
        </w:rPr>
        <w:t xml:space="preserve">; </w:t>
      </w:r>
    </w:p>
    <w:p w14:paraId="110D8D68" w14:textId="4B25D3DE" w:rsidR="00D65C2A" w:rsidRPr="004E4AA7" w:rsidRDefault="00CA682C">
      <w:pPr>
        <w:pStyle w:val="Akapitzlist"/>
        <w:numPr>
          <w:ilvl w:val="2"/>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integracj</w:t>
      </w:r>
      <w:r w:rsidR="009F616E" w:rsidRPr="004E4AA7">
        <w:rPr>
          <w:rFonts w:ascii="Times New Roman" w:hAnsi="Times New Roman" w:cs="Times New Roman"/>
          <w:sz w:val="20"/>
          <w:szCs w:val="20"/>
        </w:rPr>
        <w:t>a</w:t>
      </w:r>
      <w:r w:rsidR="00D65C2A" w:rsidRPr="004E4AA7">
        <w:rPr>
          <w:rFonts w:ascii="Times New Roman" w:hAnsi="Times New Roman" w:cs="Times New Roman"/>
          <w:sz w:val="20"/>
          <w:szCs w:val="20"/>
        </w:rPr>
        <w:t xml:space="preserve"> w zakresie części</w:t>
      </w:r>
      <w:r w:rsidRPr="004E4AA7">
        <w:rPr>
          <w:rFonts w:ascii="Times New Roman" w:hAnsi="Times New Roman" w:cs="Times New Roman"/>
          <w:sz w:val="20"/>
          <w:szCs w:val="20"/>
        </w:rPr>
        <w:t xml:space="preserve"> finansowej z ZSRK</w:t>
      </w:r>
      <w:r w:rsidR="0049331D" w:rsidRPr="004E4AA7">
        <w:rPr>
          <w:rFonts w:ascii="Times New Roman" w:hAnsi="Times New Roman" w:cs="Times New Roman"/>
          <w:sz w:val="20"/>
          <w:szCs w:val="20"/>
        </w:rPr>
        <w:t xml:space="preserve"> (w</w:t>
      </w:r>
      <w:r w:rsidRPr="004E4AA7">
        <w:rPr>
          <w:rFonts w:ascii="Times New Roman" w:hAnsi="Times New Roman" w:cs="Times New Roman"/>
          <w:sz w:val="20"/>
          <w:szCs w:val="20"/>
        </w:rPr>
        <w:t xml:space="preserve">yszukanie wpłaty w zbiorze wpłat niezaksięgowanych </w:t>
      </w:r>
      <w:r w:rsidR="0049331D" w:rsidRPr="004E4AA7">
        <w:rPr>
          <w:rFonts w:ascii="Times New Roman" w:hAnsi="Times New Roman" w:cs="Times New Roman"/>
          <w:sz w:val="20"/>
          <w:szCs w:val="20"/>
        </w:rPr>
        <w:t xml:space="preserve">– </w:t>
      </w:r>
      <w:r w:rsidRPr="004E4AA7">
        <w:rPr>
          <w:rFonts w:ascii="Times New Roman" w:hAnsi="Times New Roman" w:cs="Times New Roman"/>
          <w:sz w:val="20"/>
          <w:szCs w:val="20"/>
        </w:rPr>
        <w:t>wyjaśnianych w ZSRK-PSCD</w:t>
      </w:r>
      <w:r w:rsidR="00D65C2A" w:rsidRPr="004E4AA7">
        <w:rPr>
          <w:rFonts w:ascii="Times New Roman" w:hAnsi="Times New Roman" w:cs="Times New Roman"/>
          <w:sz w:val="20"/>
          <w:szCs w:val="20"/>
        </w:rPr>
        <w:t xml:space="preserve">), </w:t>
      </w:r>
      <w:r w:rsidR="0049331D" w:rsidRPr="004E4AA7">
        <w:rPr>
          <w:rFonts w:ascii="Times New Roman" w:hAnsi="Times New Roman" w:cs="Times New Roman"/>
          <w:sz w:val="20"/>
          <w:szCs w:val="20"/>
        </w:rPr>
        <w:t>p</w:t>
      </w:r>
      <w:r w:rsidRPr="004E4AA7">
        <w:rPr>
          <w:rFonts w:ascii="Times New Roman" w:hAnsi="Times New Roman" w:cs="Times New Roman"/>
          <w:sz w:val="20"/>
          <w:szCs w:val="20"/>
        </w:rPr>
        <w:t>rzyjmowanie informacji z ZSRK o wpłatach zaksięgowanych pod daną sygnatur</w:t>
      </w:r>
      <w:r w:rsidR="00D65C2A" w:rsidRPr="004E4AA7">
        <w:rPr>
          <w:rFonts w:ascii="Times New Roman" w:hAnsi="Times New Roman" w:cs="Times New Roman"/>
          <w:sz w:val="20"/>
          <w:szCs w:val="20"/>
        </w:rPr>
        <w:t xml:space="preserve">ą; </w:t>
      </w:r>
    </w:p>
    <w:p w14:paraId="7774F565" w14:textId="77777777" w:rsidR="00D65C2A" w:rsidRPr="004E4AA7" w:rsidRDefault="00D65C2A">
      <w:pPr>
        <w:pStyle w:val="Akapitzlist"/>
        <w:numPr>
          <w:ilvl w:val="2"/>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 xml:space="preserve">integracja z CEIDG w zakresie informacji i zdarzeń zgłaszanych przez sąd; </w:t>
      </w:r>
    </w:p>
    <w:p w14:paraId="7FD5A7C3" w14:textId="7D93BBFA" w:rsidR="00CA682C" w:rsidRPr="004E4AA7" w:rsidRDefault="00D65C2A">
      <w:pPr>
        <w:pStyle w:val="Akapitzlist"/>
        <w:numPr>
          <w:ilvl w:val="2"/>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integracja z bazą danych kodów pocztowych na potrzeby dalszej poprawy ergonomii wprowadzania wniosków</w:t>
      </w:r>
    </w:p>
    <w:p w14:paraId="00811E8D" w14:textId="7A91BD73" w:rsidR="003D243D" w:rsidRPr="004E4AA7" w:rsidRDefault="0049331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Z</w:t>
      </w:r>
      <w:r w:rsidR="003D243D" w:rsidRPr="004E4AA7">
        <w:rPr>
          <w:rFonts w:ascii="Times New Roman" w:hAnsi="Times New Roman" w:cs="Times New Roman"/>
          <w:sz w:val="20"/>
          <w:szCs w:val="20"/>
        </w:rPr>
        <w:t>apamiętywanie stosowanych kryteriów filtrowania i sortowania oraz widoczności i kolejności kolumn na ekranach wyszukiwania</w:t>
      </w:r>
      <w:r w:rsidR="008A0A31" w:rsidRPr="004E4AA7">
        <w:rPr>
          <w:rFonts w:ascii="Times New Roman" w:hAnsi="Times New Roman" w:cs="Times New Roman"/>
          <w:sz w:val="20"/>
          <w:szCs w:val="20"/>
        </w:rPr>
        <w:t xml:space="preserve">; ujednolicenie słownictwa stosowanego we wzorach pism oraz innych miejscach Systemu </w:t>
      </w:r>
      <w:r w:rsidRPr="004E4AA7">
        <w:rPr>
          <w:rFonts w:ascii="Times New Roman" w:hAnsi="Times New Roman" w:cs="Times New Roman"/>
          <w:sz w:val="20"/>
          <w:szCs w:val="20"/>
        </w:rPr>
        <w:t>(w zakresie całego systemu).</w:t>
      </w:r>
    </w:p>
    <w:p w14:paraId="7C064362" w14:textId="2DD285FD" w:rsidR="003D243D" w:rsidRPr="004E4AA7" w:rsidRDefault="0049331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lastRenderedPageBreak/>
        <w:t>Z</w:t>
      </w:r>
      <w:r w:rsidR="00202140" w:rsidRPr="004E4AA7">
        <w:rPr>
          <w:rFonts w:ascii="Times New Roman" w:hAnsi="Times New Roman" w:cs="Times New Roman"/>
          <w:sz w:val="20"/>
          <w:szCs w:val="20"/>
        </w:rPr>
        <w:t>a</w:t>
      </w:r>
      <w:r w:rsidR="003D243D" w:rsidRPr="004E4AA7">
        <w:rPr>
          <w:rFonts w:ascii="Times New Roman" w:hAnsi="Times New Roman" w:cs="Times New Roman"/>
          <w:sz w:val="20"/>
          <w:szCs w:val="20"/>
        </w:rPr>
        <w:t>pamiętywanie osta</w:t>
      </w:r>
      <w:r w:rsidR="00202140" w:rsidRPr="004E4AA7">
        <w:rPr>
          <w:rFonts w:ascii="Times New Roman" w:hAnsi="Times New Roman" w:cs="Times New Roman"/>
          <w:sz w:val="20"/>
          <w:szCs w:val="20"/>
        </w:rPr>
        <w:t>t</w:t>
      </w:r>
      <w:r w:rsidR="003D243D" w:rsidRPr="004E4AA7">
        <w:rPr>
          <w:rFonts w:ascii="Times New Roman" w:hAnsi="Times New Roman" w:cs="Times New Roman"/>
          <w:sz w:val="20"/>
          <w:szCs w:val="20"/>
        </w:rPr>
        <w:t>nio wprowadzanych danych do wniosku, głównie wierzyciela na potrzeby wypełniania jego kolejnych Zgłoszeń Wierzytelności oraz adresów</w:t>
      </w:r>
      <w:r w:rsidRPr="004E4AA7">
        <w:rPr>
          <w:rFonts w:ascii="Times New Roman" w:hAnsi="Times New Roman" w:cs="Times New Roman"/>
          <w:sz w:val="20"/>
          <w:szCs w:val="20"/>
        </w:rPr>
        <w:t xml:space="preserve">, </w:t>
      </w:r>
      <w:r w:rsidR="00CA682C" w:rsidRPr="004E4AA7">
        <w:rPr>
          <w:rFonts w:ascii="Times New Roman" w:hAnsi="Times New Roman" w:cs="Times New Roman"/>
          <w:sz w:val="20"/>
          <w:szCs w:val="20"/>
        </w:rPr>
        <w:t>z</w:t>
      </w:r>
      <w:r w:rsidR="00202140" w:rsidRPr="004E4AA7">
        <w:rPr>
          <w:rFonts w:ascii="Times New Roman" w:hAnsi="Times New Roman" w:cs="Times New Roman"/>
          <w:sz w:val="20"/>
          <w:szCs w:val="20"/>
        </w:rPr>
        <w:t>apamiętywanie ostatnio przeglądanego miejsca we wniosku przez użytkownika</w:t>
      </w:r>
      <w:r w:rsidRPr="004E4AA7">
        <w:rPr>
          <w:rFonts w:ascii="Times New Roman" w:hAnsi="Times New Roman" w:cs="Times New Roman"/>
          <w:sz w:val="20"/>
          <w:szCs w:val="20"/>
        </w:rPr>
        <w:t xml:space="preserve"> (PUZ).</w:t>
      </w:r>
    </w:p>
    <w:p w14:paraId="6A55B2D5" w14:textId="77777777" w:rsidR="00A93C57" w:rsidRPr="004E4AA7" w:rsidRDefault="0049331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Zapewnienie m</w:t>
      </w:r>
      <w:r w:rsidR="003404BB" w:rsidRPr="004E4AA7">
        <w:rPr>
          <w:rFonts w:ascii="Times New Roman" w:hAnsi="Times New Roman" w:cs="Times New Roman"/>
          <w:sz w:val="20"/>
          <w:szCs w:val="20"/>
        </w:rPr>
        <w:t>ożliwoś</w:t>
      </w:r>
      <w:r w:rsidRPr="004E4AA7">
        <w:rPr>
          <w:rFonts w:ascii="Times New Roman" w:hAnsi="Times New Roman" w:cs="Times New Roman"/>
          <w:sz w:val="20"/>
          <w:szCs w:val="20"/>
        </w:rPr>
        <w:t>ci</w:t>
      </w:r>
      <w:r w:rsidR="003404BB" w:rsidRPr="004E4AA7">
        <w:rPr>
          <w:rFonts w:ascii="Times New Roman" w:hAnsi="Times New Roman" w:cs="Times New Roman"/>
          <w:sz w:val="20"/>
          <w:szCs w:val="20"/>
        </w:rPr>
        <w:t xml:space="preserve"> wyboru jedynie jednej z wykluczających się czynności zdefiniowanych we wzorze pisma</w:t>
      </w:r>
      <w:r w:rsidRPr="004E4AA7">
        <w:rPr>
          <w:rFonts w:ascii="Times New Roman" w:hAnsi="Times New Roman" w:cs="Times New Roman"/>
          <w:sz w:val="20"/>
          <w:szCs w:val="20"/>
        </w:rPr>
        <w:t>, z</w:t>
      </w:r>
      <w:r w:rsidR="00763728" w:rsidRPr="004E4AA7">
        <w:rPr>
          <w:rFonts w:ascii="Times New Roman" w:hAnsi="Times New Roman" w:cs="Times New Roman"/>
          <w:sz w:val="20"/>
          <w:szCs w:val="20"/>
        </w:rPr>
        <w:t>akaz obwieszczania o wpływie wniosku wierzyciela</w:t>
      </w:r>
      <w:r w:rsidR="00A93C57" w:rsidRPr="004E4AA7">
        <w:rPr>
          <w:rFonts w:ascii="Times New Roman" w:hAnsi="Times New Roman" w:cs="Times New Roman"/>
          <w:sz w:val="20"/>
          <w:szCs w:val="20"/>
        </w:rPr>
        <w:t xml:space="preserve"> (pisma sądowe PS).</w:t>
      </w:r>
    </w:p>
    <w:p w14:paraId="48048E3A" w14:textId="77777777" w:rsidR="00A93C57" w:rsidRPr="004E4AA7" w:rsidRDefault="00A93C57">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Op</w:t>
      </w:r>
      <w:r w:rsidR="000C3CFB" w:rsidRPr="004E4AA7">
        <w:rPr>
          <w:rFonts w:ascii="Times New Roman" w:hAnsi="Times New Roman" w:cs="Times New Roman"/>
          <w:sz w:val="20"/>
          <w:szCs w:val="20"/>
        </w:rPr>
        <w:t xml:space="preserve">racowanie </w:t>
      </w:r>
      <w:r w:rsidR="00763728" w:rsidRPr="004E4AA7">
        <w:rPr>
          <w:rFonts w:ascii="Times New Roman" w:hAnsi="Times New Roman" w:cs="Times New Roman"/>
          <w:sz w:val="20"/>
          <w:szCs w:val="20"/>
        </w:rPr>
        <w:t>wzor</w:t>
      </w:r>
      <w:r w:rsidRPr="004E4AA7">
        <w:rPr>
          <w:rFonts w:ascii="Times New Roman" w:hAnsi="Times New Roman" w:cs="Times New Roman"/>
          <w:sz w:val="20"/>
          <w:szCs w:val="20"/>
        </w:rPr>
        <w:t>ów pism i formularzy</w:t>
      </w:r>
      <w:r w:rsidR="00763728" w:rsidRPr="004E4AA7">
        <w:rPr>
          <w:rFonts w:ascii="Times New Roman" w:hAnsi="Times New Roman" w:cs="Times New Roman"/>
          <w:sz w:val="20"/>
          <w:szCs w:val="20"/>
        </w:rPr>
        <w:t xml:space="preserve"> wymagan</w:t>
      </w:r>
      <w:r w:rsidR="000C3CFB" w:rsidRPr="004E4AA7">
        <w:rPr>
          <w:rFonts w:ascii="Times New Roman" w:hAnsi="Times New Roman" w:cs="Times New Roman"/>
          <w:sz w:val="20"/>
          <w:szCs w:val="20"/>
        </w:rPr>
        <w:t>ych</w:t>
      </w:r>
      <w:r w:rsidR="00763728" w:rsidRPr="004E4AA7">
        <w:rPr>
          <w:rFonts w:ascii="Times New Roman" w:hAnsi="Times New Roman" w:cs="Times New Roman"/>
          <w:sz w:val="20"/>
          <w:szCs w:val="20"/>
        </w:rPr>
        <w:t xml:space="preserve"> przepisami prawa</w:t>
      </w:r>
      <w:r w:rsidR="00280732" w:rsidRPr="004E4AA7">
        <w:rPr>
          <w:rFonts w:ascii="Times New Roman" w:hAnsi="Times New Roman" w:cs="Times New Roman"/>
          <w:sz w:val="20"/>
          <w:szCs w:val="20"/>
        </w:rPr>
        <w:t xml:space="preserve"> </w:t>
      </w:r>
      <w:r w:rsidR="00224CCD" w:rsidRPr="004E4AA7">
        <w:rPr>
          <w:rFonts w:ascii="Times New Roman" w:hAnsi="Times New Roman" w:cs="Times New Roman"/>
          <w:sz w:val="20"/>
          <w:szCs w:val="20"/>
        </w:rPr>
        <w:t xml:space="preserve">zaistniałych w obrocie prawnym </w:t>
      </w:r>
      <w:r w:rsidR="00280732" w:rsidRPr="004E4AA7">
        <w:rPr>
          <w:rFonts w:ascii="Times New Roman" w:hAnsi="Times New Roman" w:cs="Times New Roman"/>
          <w:sz w:val="20"/>
          <w:szCs w:val="20"/>
        </w:rPr>
        <w:t>po 1 grudnia 2021 r.</w:t>
      </w:r>
      <w:r w:rsidRPr="004E4AA7">
        <w:rPr>
          <w:rFonts w:ascii="Times New Roman" w:hAnsi="Times New Roman" w:cs="Times New Roman"/>
          <w:sz w:val="20"/>
          <w:szCs w:val="20"/>
        </w:rPr>
        <w:t xml:space="preserve"> (w zakresie całego systemu).</w:t>
      </w:r>
    </w:p>
    <w:p w14:paraId="08BC25CF" w14:textId="64BC07D7" w:rsidR="00A93C57" w:rsidRPr="004E4AA7" w:rsidRDefault="003D243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 xml:space="preserve">Wyszukiwanie </w:t>
      </w:r>
      <w:r w:rsidR="00A93C57" w:rsidRPr="004E4AA7">
        <w:rPr>
          <w:rFonts w:ascii="Times New Roman" w:hAnsi="Times New Roman" w:cs="Times New Roman"/>
          <w:sz w:val="20"/>
          <w:szCs w:val="20"/>
        </w:rPr>
        <w:t>na tablicy obwieszczeń informacji</w:t>
      </w:r>
      <w:r w:rsidRPr="004E4AA7">
        <w:rPr>
          <w:rFonts w:ascii="Times New Roman" w:hAnsi="Times New Roman" w:cs="Times New Roman"/>
          <w:sz w:val="20"/>
          <w:szCs w:val="20"/>
        </w:rPr>
        <w:t xml:space="preserve"> według sądu</w:t>
      </w:r>
      <w:r w:rsidR="00FD35E2" w:rsidRPr="004E4AA7">
        <w:rPr>
          <w:rFonts w:ascii="Times New Roman" w:hAnsi="Times New Roman" w:cs="Times New Roman"/>
          <w:sz w:val="20"/>
          <w:szCs w:val="20"/>
        </w:rPr>
        <w:t>, rozdzielenie kategorii na tablicy obwieszczeń</w:t>
      </w:r>
      <w:r w:rsidR="005F4CE7" w:rsidRPr="004E4AA7">
        <w:rPr>
          <w:rFonts w:ascii="Times New Roman" w:hAnsi="Times New Roman" w:cs="Times New Roman"/>
          <w:sz w:val="20"/>
          <w:szCs w:val="20"/>
        </w:rPr>
        <w:t xml:space="preserve"> (PP)</w:t>
      </w:r>
      <w:r w:rsidR="00FD35E2" w:rsidRPr="004E4AA7">
        <w:rPr>
          <w:rFonts w:ascii="Times New Roman" w:hAnsi="Times New Roman" w:cs="Times New Roman"/>
          <w:sz w:val="20"/>
          <w:szCs w:val="20"/>
        </w:rPr>
        <w:t>.</w:t>
      </w:r>
    </w:p>
    <w:p w14:paraId="75371F8A" w14:textId="1418CDF1" w:rsidR="003D243D" w:rsidRPr="004E4AA7" w:rsidRDefault="00A93C57">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O</w:t>
      </w:r>
      <w:r w:rsidR="003D243D" w:rsidRPr="004E4AA7">
        <w:rPr>
          <w:rFonts w:ascii="Times New Roman" w:hAnsi="Times New Roman" w:cs="Times New Roman"/>
          <w:sz w:val="20"/>
          <w:szCs w:val="20"/>
        </w:rPr>
        <w:t>bsługa nadzoru nad realizacją planu spłaty</w:t>
      </w:r>
      <w:r w:rsidRPr="004E4AA7">
        <w:rPr>
          <w:rFonts w:ascii="Times New Roman" w:hAnsi="Times New Roman" w:cs="Times New Roman"/>
          <w:sz w:val="20"/>
          <w:szCs w:val="20"/>
        </w:rPr>
        <w:t xml:space="preserve"> (PS).</w:t>
      </w:r>
    </w:p>
    <w:p w14:paraId="4FDB0421" w14:textId="2B172ECD" w:rsidR="003D243D" w:rsidRPr="004E4AA7" w:rsidRDefault="003D243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Ostrzeżenie o niewypełnieniu metryki doradcy restrukturyzacyjnego w postępowaniu</w:t>
      </w:r>
      <w:r w:rsidR="00A93C57" w:rsidRPr="004E4AA7">
        <w:rPr>
          <w:rFonts w:ascii="Times New Roman" w:hAnsi="Times New Roman" w:cs="Times New Roman"/>
          <w:sz w:val="20"/>
          <w:szCs w:val="20"/>
        </w:rPr>
        <w:t xml:space="preserve"> (PB)</w:t>
      </w:r>
    </w:p>
    <w:p w14:paraId="203A3317" w14:textId="24A6C00A" w:rsidR="003D243D" w:rsidRPr="004E4AA7" w:rsidRDefault="003D243D">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Rozszerzenie filtrowania dokumentów w aktach postępowania o rodzaj i pochodzenie dokumenty oraz wnoszącego lub wydającego pismo</w:t>
      </w:r>
      <w:r w:rsidR="00FD35E2" w:rsidRPr="004E4AA7">
        <w:rPr>
          <w:rFonts w:ascii="Times New Roman" w:hAnsi="Times New Roman" w:cs="Times New Roman"/>
          <w:sz w:val="20"/>
          <w:szCs w:val="20"/>
        </w:rPr>
        <w:t xml:space="preserve"> (PS).</w:t>
      </w:r>
    </w:p>
    <w:p w14:paraId="37B971BB" w14:textId="2034824A" w:rsidR="00CA74D8" w:rsidRPr="004E4AA7" w:rsidRDefault="00FD35E2">
      <w:pPr>
        <w:pStyle w:val="Akapitzlist"/>
        <w:numPr>
          <w:ilvl w:val="0"/>
          <w:numId w:val="41"/>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Przygotowanie API dla podmiotów zewnętrznych w zakresie, w jakim pozwoli na to stan prawny:</w:t>
      </w:r>
    </w:p>
    <w:p w14:paraId="7CB05686" w14:textId="77777777" w:rsidR="003D243D" w:rsidRPr="004E4AA7" w:rsidRDefault="003D243D">
      <w:pPr>
        <w:pStyle w:val="Akapitzlist"/>
        <w:numPr>
          <w:ilvl w:val="0"/>
          <w:numId w:val="42"/>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API do sprawdzania podmiotów w KRZ</w:t>
      </w:r>
    </w:p>
    <w:p w14:paraId="13F446AC" w14:textId="77777777" w:rsidR="003D243D" w:rsidRPr="004E4AA7" w:rsidRDefault="003D243D">
      <w:pPr>
        <w:pStyle w:val="Akapitzlist"/>
        <w:numPr>
          <w:ilvl w:val="0"/>
          <w:numId w:val="42"/>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API do pobierania obwieszczeń</w:t>
      </w:r>
    </w:p>
    <w:p w14:paraId="1D47EEDB" w14:textId="77777777" w:rsidR="003D243D" w:rsidRPr="004E4AA7" w:rsidRDefault="003D243D">
      <w:pPr>
        <w:pStyle w:val="Akapitzlist"/>
        <w:numPr>
          <w:ilvl w:val="0"/>
          <w:numId w:val="42"/>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API do grupowego zgłaszania wierzytelności</w:t>
      </w:r>
    </w:p>
    <w:p w14:paraId="6BA30E24" w14:textId="54EA5399" w:rsidR="003D243D" w:rsidRPr="004E4AA7" w:rsidRDefault="008A0A31">
      <w:pPr>
        <w:pStyle w:val="Akapitzlist"/>
        <w:numPr>
          <w:ilvl w:val="0"/>
          <w:numId w:val="42"/>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 xml:space="preserve">API do systemów </w:t>
      </w:r>
      <w:r w:rsidR="003D243D" w:rsidRPr="004E4AA7">
        <w:rPr>
          <w:rFonts w:ascii="Times New Roman" w:hAnsi="Times New Roman" w:cs="Times New Roman"/>
          <w:sz w:val="20"/>
          <w:szCs w:val="20"/>
        </w:rPr>
        <w:t>informatycznych doradców restrukturyzacyjnych</w:t>
      </w:r>
    </w:p>
    <w:p w14:paraId="5980D107" w14:textId="2099BD7E" w:rsidR="003D243D"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Filtrowanie wniosków o ogłoszenie upadłości spółek i osób fizycznych prowadzących działalność gospodarczą skierowanych do dekretacji</w:t>
      </w:r>
      <w:r w:rsidR="008A0A31" w:rsidRPr="004E4AA7">
        <w:rPr>
          <w:rFonts w:ascii="Times New Roman" w:hAnsi="Times New Roman" w:cs="Times New Roman"/>
          <w:sz w:val="20"/>
          <w:szCs w:val="20"/>
        </w:rPr>
        <w:t xml:space="preserve"> (decyzje sądu, PS)</w:t>
      </w:r>
      <w:r w:rsidRPr="004E4AA7">
        <w:rPr>
          <w:rFonts w:ascii="Times New Roman" w:hAnsi="Times New Roman" w:cs="Times New Roman"/>
          <w:sz w:val="20"/>
          <w:szCs w:val="20"/>
        </w:rPr>
        <w:t>.</w:t>
      </w:r>
    </w:p>
    <w:p w14:paraId="3DDFEDAF" w14:textId="3D3074AD" w:rsidR="003D243D"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Ergonomia funkcji usuwani</w:t>
      </w:r>
      <w:r w:rsidR="00E54572" w:rsidRPr="004E4AA7">
        <w:rPr>
          <w:rFonts w:ascii="Times New Roman" w:hAnsi="Times New Roman" w:cs="Times New Roman"/>
          <w:sz w:val="20"/>
          <w:szCs w:val="20"/>
        </w:rPr>
        <w:t>a</w:t>
      </w:r>
      <w:r w:rsidRPr="004E4AA7">
        <w:rPr>
          <w:rFonts w:ascii="Times New Roman" w:hAnsi="Times New Roman" w:cs="Times New Roman"/>
          <w:sz w:val="20"/>
          <w:szCs w:val="20"/>
        </w:rPr>
        <w:t xml:space="preserve"> pism w korespondencji wychodzącej</w:t>
      </w:r>
      <w:r w:rsidR="008A0A31" w:rsidRPr="004E4AA7">
        <w:rPr>
          <w:rFonts w:ascii="Times New Roman" w:hAnsi="Times New Roman" w:cs="Times New Roman"/>
          <w:sz w:val="20"/>
          <w:szCs w:val="20"/>
        </w:rPr>
        <w:t xml:space="preserve"> (emisja pism, kancelaria PS)</w:t>
      </w:r>
    </w:p>
    <w:p w14:paraId="57A33AC3" w14:textId="511C761A" w:rsidR="003D243D"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Umożliwienie korekty wniosków papierowych i oświadczeń ustnych wprowadzanych przez innego użytkownika</w:t>
      </w:r>
      <w:r w:rsidR="00E54572" w:rsidRPr="004E4AA7">
        <w:rPr>
          <w:rFonts w:ascii="Times New Roman" w:hAnsi="Times New Roman" w:cs="Times New Roman"/>
          <w:sz w:val="20"/>
          <w:szCs w:val="20"/>
        </w:rPr>
        <w:t xml:space="preserve"> (wnioski papierowe i ustne, P</w:t>
      </w:r>
      <w:r w:rsidR="008D401A" w:rsidRPr="004E4AA7">
        <w:rPr>
          <w:rFonts w:ascii="Times New Roman" w:hAnsi="Times New Roman" w:cs="Times New Roman"/>
          <w:sz w:val="20"/>
          <w:szCs w:val="20"/>
        </w:rPr>
        <w:t>U</w:t>
      </w:r>
      <w:r w:rsidR="00E54572" w:rsidRPr="004E4AA7">
        <w:rPr>
          <w:rFonts w:ascii="Times New Roman" w:hAnsi="Times New Roman" w:cs="Times New Roman"/>
          <w:sz w:val="20"/>
          <w:szCs w:val="20"/>
        </w:rPr>
        <w:t>Z)</w:t>
      </w:r>
      <w:r w:rsidR="00A81F4F" w:rsidRPr="004E4AA7">
        <w:rPr>
          <w:rFonts w:ascii="Times New Roman" w:hAnsi="Times New Roman" w:cs="Times New Roman"/>
          <w:sz w:val="20"/>
          <w:szCs w:val="20"/>
        </w:rPr>
        <w:t>.</w:t>
      </w:r>
    </w:p>
    <w:p w14:paraId="50522AA8" w14:textId="6B8951E0" w:rsidR="003D243D"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 xml:space="preserve">Umożliwienie syndykom usuwania sprawozdań </w:t>
      </w:r>
      <w:r w:rsidR="002068AD" w:rsidRPr="004E4AA7">
        <w:rPr>
          <w:rFonts w:ascii="Times New Roman" w:hAnsi="Times New Roman" w:cs="Times New Roman"/>
          <w:sz w:val="20"/>
          <w:szCs w:val="20"/>
        </w:rPr>
        <w:t>„</w:t>
      </w:r>
      <w:r w:rsidRPr="004E4AA7">
        <w:rPr>
          <w:rFonts w:ascii="Times New Roman" w:hAnsi="Times New Roman" w:cs="Times New Roman"/>
          <w:sz w:val="20"/>
          <w:szCs w:val="20"/>
        </w:rPr>
        <w:t>Przekazanych do złożenia</w:t>
      </w:r>
      <w:r w:rsidR="002068AD" w:rsidRPr="004E4AA7">
        <w:rPr>
          <w:rFonts w:ascii="Times New Roman" w:hAnsi="Times New Roman" w:cs="Times New Roman"/>
          <w:sz w:val="20"/>
          <w:szCs w:val="20"/>
        </w:rPr>
        <w:t>” (PB).</w:t>
      </w:r>
    </w:p>
    <w:p w14:paraId="1524E323" w14:textId="6B4C11AC" w:rsidR="008A0A31"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Usuwanie spraw ze zbioru spraw aktywnych referendarzy sądowych po zakończeniu brakowania</w:t>
      </w:r>
      <w:r w:rsidR="002068AD" w:rsidRPr="004E4AA7">
        <w:rPr>
          <w:rFonts w:ascii="Times New Roman" w:hAnsi="Times New Roman" w:cs="Times New Roman"/>
          <w:sz w:val="20"/>
          <w:szCs w:val="20"/>
        </w:rPr>
        <w:t xml:space="preserve"> (PS).</w:t>
      </w:r>
    </w:p>
    <w:p w14:paraId="3552318B" w14:textId="5B3DDAC0" w:rsidR="003D243D" w:rsidRPr="004E4AA7" w:rsidRDefault="003D243D">
      <w:pPr>
        <w:pStyle w:val="Akapitzlist"/>
        <w:numPr>
          <w:ilvl w:val="0"/>
          <w:numId w:val="43"/>
        </w:numPr>
        <w:spacing w:before="120" w:after="120" w:line="240" w:lineRule="auto"/>
        <w:jc w:val="both"/>
        <w:rPr>
          <w:rFonts w:ascii="Times New Roman" w:hAnsi="Times New Roman" w:cs="Times New Roman"/>
          <w:sz w:val="20"/>
          <w:szCs w:val="20"/>
        </w:rPr>
      </w:pPr>
      <w:r w:rsidRPr="004E4AA7">
        <w:rPr>
          <w:rFonts w:ascii="Times New Roman" w:hAnsi="Times New Roman" w:cs="Times New Roman"/>
          <w:sz w:val="20"/>
          <w:szCs w:val="20"/>
        </w:rPr>
        <w:t xml:space="preserve">Uzupełnienie listy </w:t>
      </w:r>
      <w:r w:rsidR="002068AD" w:rsidRPr="004E4AA7">
        <w:rPr>
          <w:rFonts w:ascii="Times New Roman" w:hAnsi="Times New Roman" w:cs="Times New Roman"/>
          <w:sz w:val="20"/>
          <w:szCs w:val="20"/>
        </w:rPr>
        <w:t>„</w:t>
      </w:r>
      <w:r w:rsidRPr="004E4AA7">
        <w:rPr>
          <w:rFonts w:ascii="Times New Roman" w:hAnsi="Times New Roman" w:cs="Times New Roman"/>
          <w:sz w:val="20"/>
          <w:szCs w:val="20"/>
        </w:rPr>
        <w:t>zarządzenie o wyznaczeniu</w:t>
      </w:r>
      <w:r w:rsidR="002068AD" w:rsidRPr="004E4AA7">
        <w:rPr>
          <w:rFonts w:ascii="Times New Roman" w:hAnsi="Times New Roman" w:cs="Times New Roman"/>
          <w:sz w:val="20"/>
          <w:szCs w:val="20"/>
        </w:rPr>
        <w:t>”</w:t>
      </w:r>
      <w:r w:rsidRPr="004E4AA7">
        <w:rPr>
          <w:rFonts w:ascii="Times New Roman" w:hAnsi="Times New Roman" w:cs="Times New Roman"/>
          <w:sz w:val="20"/>
          <w:szCs w:val="20"/>
        </w:rPr>
        <w:t xml:space="preserve"> o dat</w:t>
      </w:r>
      <w:r w:rsidR="002068AD" w:rsidRPr="004E4AA7">
        <w:rPr>
          <w:rFonts w:ascii="Times New Roman" w:hAnsi="Times New Roman" w:cs="Times New Roman"/>
          <w:sz w:val="20"/>
          <w:szCs w:val="20"/>
        </w:rPr>
        <w:t>ę</w:t>
      </w:r>
      <w:r w:rsidRPr="004E4AA7">
        <w:rPr>
          <w:rFonts w:ascii="Times New Roman" w:hAnsi="Times New Roman" w:cs="Times New Roman"/>
          <w:sz w:val="20"/>
          <w:szCs w:val="20"/>
        </w:rPr>
        <w:t xml:space="preserve"> dokumentu i możliwość jego podglądu.</w:t>
      </w:r>
    </w:p>
    <w:p w14:paraId="5349D487" w14:textId="77777777" w:rsidR="003D243D" w:rsidRPr="004E4AA7" w:rsidRDefault="003D243D" w:rsidP="000D3B07">
      <w:pPr>
        <w:spacing w:before="120" w:after="120"/>
        <w:jc w:val="both"/>
        <w:rPr>
          <w:sz w:val="20"/>
          <w:szCs w:val="20"/>
        </w:rPr>
      </w:pPr>
    </w:p>
    <w:p w14:paraId="65B40261" w14:textId="4B0CACFC" w:rsidR="00893A7E" w:rsidRPr="004E4AA7" w:rsidRDefault="00893A7E" w:rsidP="000D3B07">
      <w:pPr>
        <w:spacing w:before="120" w:after="120"/>
        <w:contextualSpacing/>
        <w:jc w:val="both"/>
        <w:rPr>
          <w:rFonts w:eastAsia="Calibri"/>
          <w:b/>
          <w:bCs/>
          <w:sz w:val="22"/>
          <w:szCs w:val="22"/>
          <w:u w:val="single"/>
          <w:lang w:eastAsia="en-US"/>
        </w:rPr>
      </w:pPr>
      <w:r w:rsidRPr="004E4AA7">
        <w:rPr>
          <w:rFonts w:eastAsia="Calibri"/>
          <w:b/>
          <w:bCs/>
          <w:sz w:val="22"/>
          <w:szCs w:val="22"/>
          <w:u w:val="single"/>
          <w:lang w:eastAsia="en-US"/>
        </w:rPr>
        <w:t>Uwaga generalna</w:t>
      </w:r>
    </w:p>
    <w:p w14:paraId="405529B8" w14:textId="77777777" w:rsidR="00690B80" w:rsidRPr="004E4AA7" w:rsidRDefault="00690B80" w:rsidP="000D3B07">
      <w:pPr>
        <w:spacing w:before="120" w:after="120"/>
        <w:contextualSpacing/>
        <w:jc w:val="both"/>
        <w:rPr>
          <w:rFonts w:eastAsia="Calibri"/>
          <w:b/>
          <w:bCs/>
          <w:sz w:val="20"/>
          <w:szCs w:val="20"/>
          <w:lang w:eastAsia="en-US"/>
        </w:rPr>
      </w:pPr>
    </w:p>
    <w:p w14:paraId="45CC29BD" w14:textId="36BD2879" w:rsidR="00893A7E" w:rsidRPr="004E4AA7" w:rsidRDefault="00893A7E" w:rsidP="000D3B07">
      <w:pPr>
        <w:spacing w:before="120" w:after="120"/>
        <w:jc w:val="both"/>
        <w:rPr>
          <w:bCs/>
          <w:sz w:val="20"/>
        </w:rPr>
      </w:pPr>
      <w:r w:rsidRPr="004E4AA7">
        <w:rPr>
          <w:bCs/>
          <w:sz w:val="20"/>
        </w:rPr>
        <w:t xml:space="preserve">Mając na uwadze powyższe Zamawiający zastrzega sobie prawo modyfikowania Systemu KRZ </w:t>
      </w:r>
      <w:r w:rsidRPr="004E4AA7">
        <w:rPr>
          <w:bCs/>
          <w:sz w:val="20"/>
        </w:rPr>
        <w:br/>
        <w:t>w trakcie toczącego się postępowania o udzielenie zamówienia publicznego zgodnie z:</w:t>
      </w:r>
    </w:p>
    <w:p w14:paraId="446A2415" w14:textId="77777777" w:rsidR="00893A7E" w:rsidRPr="004E4AA7" w:rsidRDefault="00893A7E">
      <w:pPr>
        <w:pStyle w:val="Akapitzlist"/>
        <w:numPr>
          <w:ilvl w:val="0"/>
          <w:numId w:val="55"/>
        </w:numPr>
        <w:spacing w:before="120" w:after="120" w:line="240" w:lineRule="auto"/>
        <w:jc w:val="both"/>
        <w:rPr>
          <w:rFonts w:ascii="Times New Roman" w:hAnsi="Times New Roman" w:cs="Times New Roman"/>
          <w:bCs/>
          <w:sz w:val="20"/>
          <w:szCs w:val="24"/>
          <w:lang w:eastAsia="pl-PL"/>
        </w:rPr>
      </w:pPr>
      <w:r w:rsidRPr="004E4AA7">
        <w:rPr>
          <w:rFonts w:ascii="Times New Roman" w:hAnsi="Times New Roman" w:cs="Times New Roman"/>
          <w:bCs/>
          <w:sz w:val="20"/>
          <w:szCs w:val="24"/>
          <w:lang w:eastAsia="pl-PL"/>
        </w:rPr>
        <w:t>zmieniającymi się przepisami prawa;</w:t>
      </w:r>
    </w:p>
    <w:p w14:paraId="36F70D1A" w14:textId="48FCCBBF" w:rsidR="00893A7E" w:rsidRPr="004E4AA7" w:rsidRDefault="00893A7E">
      <w:pPr>
        <w:pStyle w:val="Akapitzlist"/>
        <w:numPr>
          <w:ilvl w:val="0"/>
          <w:numId w:val="55"/>
        </w:numPr>
        <w:spacing w:before="120" w:after="120" w:line="240" w:lineRule="auto"/>
        <w:jc w:val="both"/>
        <w:rPr>
          <w:rFonts w:ascii="Times New Roman" w:hAnsi="Times New Roman" w:cs="Times New Roman"/>
          <w:bCs/>
          <w:sz w:val="20"/>
          <w:szCs w:val="24"/>
          <w:lang w:eastAsia="pl-PL"/>
        </w:rPr>
      </w:pPr>
      <w:r w:rsidRPr="004E4AA7">
        <w:rPr>
          <w:rFonts w:ascii="Times New Roman" w:hAnsi="Times New Roman" w:cs="Times New Roman"/>
          <w:bCs/>
          <w:sz w:val="20"/>
          <w:szCs w:val="24"/>
          <w:lang w:eastAsia="pl-PL"/>
        </w:rPr>
        <w:t>potrzebami użytkowników instytucjonalnych Systemu KRZ;</w:t>
      </w:r>
    </w:p>
    <w:p w14:paraId="3EBE5F42" w14:textId="77777777" w:rsidR="00893A7E" w:rsidRPr="004E4AA7" w:rsidRDefault="00893A7E">
      <w:pPr>
        <w:pStyle w:val="Akapitzlist"/>
        <w:numPr>
          <w:ilvl w:val="0"/>
          <w:numId w:val="55"/>
        </w:numPr>
        <w:spacing w:before="120" w:after="120" w:line="240" w:lineRule="auto"/>
        <w:jc w:val="both"/>
        <w:rPr>
          <w:rFonts w:ascii="Times New Roman" w:hAnsi="Times New Roman" w:cs="Times New Roman"/>
          <w:bCs/>
          <w:sz w:val="20"/>
          <w:szCs w:val="24"/>
          <w:lang w:eastAsia="pl-PL"/>
        </w:rPr>
      </w:pPr>
      <w:r w:rsidRPr="004E4AA7">
        <w:rPr>
          <w:rFonts w:ascii="Times New Roman" w:hAnsi="Times New Roman" w:cs="Times New Roman"/>
          <w:bCs/>
          <w:sz w:val="20"/>
          <w:szCs w:val="24"/>
          <w:lang w:eastAsia="pl-PL"/>
        </w:rPr>
        <w:t>rozwojem techniki informatycznej;</w:t>
      </w:r>
    </w:p>
    <w:p w14:paraId="28594563" w14:textId="77777777" w:rsidR="00893A7E" w:rsidRPr="004E4AA7" w:rsidRDefault="00893A7E">
      <w:pPr>
        <w:pStyle w:val="Style1"/>
        <w:widowControl/>
        <w:numPr>
          <w:ilvl w:val="0"/>
          <w:numId w:val="55"/>
        </w:numPr>
        <w:tabs>
          <w:tab w:val="left" w:leader="dot" w:pos="10061"/>
        </w:tabs>
        <w:spacing w:before="120" w:after="120"/>
        <w:jc w:val="both"/>
        <w:rPr>
          <w:bCs/>
          <w:sz w:val="20"/>
        </w:rPr>
      </w:pPr>
      <w:r w:rsidRPr="004E4AA7">
        <w:rPr>
          <w:bCs/>
          <w:sz w:val="20"/>
        </w:rPr>
        <w:t>innymi potrzebami.</w:t>
      </w:r>
    </w:p>
    <w:p w14:paraId="510B6FC3" w14:textId="3ECB7A5C" w:rsidR="00662E2D" w:rsidRPr="004E4AA7" w:rsidRDefault="00662E2D" w:rsidP="000D3B07">
      <w:pPr>
        <w:spacing w:before="120" w:after="120"/>
        <w:jc w:val="both"/>
        <w:rPr>
          <w:rFonts w:eastAsia="Calibri"/>
          <w:sz w:val="20"/>
        </w:rPr>
      </w:pPr>
    </w:p>
    <w:p w14:paraId="2A619538" w14:textId="0BBA7C63" w:rsidR="00662E2D" w:rsidRPr="004E4AA7" w:rsidRDefault="00503345" w:rsidP="00503345">
      <w:pPr>
        <w:pStyle w:val="Nagowek3"/>
        <w:rPr>
          <w:rStyle w:val="Wyrnienieintensywne"/>
          <w:rFonts w:ascii="Times New Roman" w:hAnsi="Times New Roman"/>
          <w:i w:val="0"/>
          <w:iCs w:val="0"/>
          <w:color w:val="auto"/>
        </w:rPr>
      </w:pPr>
      <w:bookmarkStart w:id="45" w:name="_Ref524006734"/>
      <w:bookmarkStart w:id="46" w:name="_Toc14877577"/>
      <w:bookmarkStart w:id="47" w:name="_Toc134561910"/>
      <w:bookmarkStart w:id="48" w:name="_Toc134563674"/>
      <w:r w:rsidRPr="004E4AA7">
        <w:rPr>
          <w:rStyle w:val="Wyrnienieintensywne"/>
          <w:rFonts w:ascii="Times New Roman" w:hAnsi="Times New Roman"/>
          <w:i w:val="0"/>
          <w:iCs w:val="0"/>
          <w:color w:val="auto"/>
        </w:rPr>
        <w:t xml:space="preserve">6 </w:t>
      </w:r>
      <w:r w:rsidR="00662E2D" w:rsidRPr="004E4AA7">
        <w:rPr>
          <w:rStyle w:val="Wyrnienieintensywne"/>
          <w:rFonts w:ascii="Times New Roman" w:hAnsi="Times New Roman"/>
          <w:i w:val="0"/>
          <w:iCs w:val="0"/>
          <w:color w:val="auto"/>
        </w:rPr>
        <w:t>Opis architektury Systemu KRZ</w:t>
      </w:r>
      <w:bookmarkEnd w:id="45"/>
      <w:bookmarkEnd w:id="46"/>
      <w:bookmarkEnd w:id="47"/>
      <w:bookmarkEnd w:id="48"/>
    </w:p>
    <w:p w14:paraId="7CA661CD" w14:textId="0C95DD41" w:rsidR="00662E2D" w:rsidRPr="004E4AA7" w:rsidRDefault="00C3752B" w:rsidP="00C3752B">
      <w:pPr>
        <w:pStyle w:val="Nagwek2"/>
        <w:spacing w:before="120" w:after="120"/>
        <w:rPr>
          <w:b/>
          <w:sz w:val="20"/>
          <w:szCs w:val="20"/>
        </w:rPr>
      </w:pPr>
      <w:bookmarkStart w:id="49" w:name="_Toc523217110"/>
      <w:bookmarkStart w:id="50" w:name="_Ref524327482"/>
      <w:bookmarkStart w:id="51" w:name="_Ref524609610"/>
      <w:bookmarkStart w:id="52" w:name="_Toc14877578"/>
      <w:bookmarkStart w:id="53" w:name="_Toc134561911"/>
      <w:bookmarkStart w:id="54" w:name="_Toc134563675"/>
      <w:r w:rsidRPr="00EB4940">
        <w:rPr>
          <w:b/>
          <w:sz w:val="22"/>
          <w:szCs w:val="22"/>
        </w:rPr>
        <w:t xml:space="preserve">6.1 </w:t>
      </w:r>
      <w:r w:rsidR="00D60E51">
        <w:rPr>
          <w:b/>
          <w:sz w:val="22"/>
          <w:szCs w:val="22"/>
        </w:rPr>
        <w:t xml:space="preserve"> </w:t>
      </w:r>
      <w:r w:rsidR="00662E2D" w:rsidRPr="00EB4940">
        <w:rPr>
          <w:rStyle w:val="Nagwek3Znak"/>
          <w:b/>
          <w:bCs/>
          <w:i w:val="0"/>
          <w:iCs w:val="0"/>
          <w:sz w:val="22"/>
          <w:szCs w:val="22"/>
        </w:rPr>
        <w:t>Kontekst architektury korporacyjnej MS</w:t>
      </w:r>
      <w:bookmarkEnd w:id="49"/>
      <w:bookmarkEnd w:id="50"/>
      <w:bookmarkEnd w:id="51"/>
      <w:bookmarkEnd w:id="52"/>
      <w:bookmarkEnd w:id="53"/>
      <w:bookmarkEnd w:id="54"/>
    </w:p>
    <w:p w14:paraId="1602FB39"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 xml:space="preserve">Poniższy diagram przedstawia architekturę warstwową rozwiązania KRZ wkomponowaną w obecną architekturę rozwiązań, jak również w architekturę, która została ustanowiona </w:t>
      </w:r>
      <w:r w:rsidRPr="004E4AA7">
        <w:rPr>
          <w:sz w:val="20"/>
          <w:szCs w:val="20"/>
        </w:rPr>
        <w:br/>
        <w:t xml:space="preserve">przez projekty realizowane w ramach Ministerstwa Sprawiedliwości. </w:t>
      </w:r>
    </w:p>
    <w:p w14:paraId="0B6C7607" w14:textId="7229F470" w:rsidR="00662E2D" w:rsidRPr="004E4AA7" w:rsidRDefault="00662E2D" w:rsidP="00643536">
      <w:pPr>
        <w:pStyle w:val="Tekstpodstawowyzwciciem2"/>
        <w:keepNext/>
        <w:spacing w:before="120" w:after="120"/>
        <w:ind w:firstLine="0"/>
        <w:jc w:val="center"/>
        <w:rPr>
          <w:b/>
          <w:bCs/>
          <w:color w:val="4F81BD" w:themeColor="accent1"/>
          <w:sz w:val="16"/>
          <w:szCs w:val="16"/>
        </w:rPr>
      </w:pPr>
      <w:r w:rsidRPr="004E4AA7">
        <w:rPr>
          <w:sz w:val="20"/>
          <w:szCs w:val="20"/>
        </w:rPr>
        <w:object w:dxaOrig="14323" w:dyaOrig="6453" w14:anchorId="3C73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01pt" o:ole="">
            <v:imagedata r:id="rId13" o:title=""/>
          </v:shape>
          <o:OLEObject Type="Embed" ProgID="Visio.Drawing.11" ShapeID="_x0000_i1025" DrawAspect="Content" ObjectID="_1755933451" r:id="rId14"/>
        </w:object>
      </w:r>
      <w:r w:rsidRPr="00012D2E">
        <w:rPr>
          <w:sz w:val="16"/>
          <w:szCs w:val="16"/>
        </w:rPr>
        <w:t xml:space="preserve">Rysunek </w:t>
      </w:r>
      <w:r w:rsidR="008024E6" w:rsidRPr="00012D2E">
        <w:rPr>
          <w:sz w:val="16"/>
          <w:szCs w:val="16"/>
        </w:rPr>
        <w:t>1</w:t>
      </w:r>
      <w:r w:rsidRPr="00012D2E">
        <w:rPr>
          <w:sz w:val="16"/>
          <w:szCs w:val="16"/>
        </w:rPr>
        <w:t xml:space="preserve"> Architektura warstwowa systemu KRZ</w:t>
      </w:r>
    </w:p>
    <w:p w14:paraId="5AF8A67C"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 xml:space="preserve">W przypadku powyższego diagramu należy wyróżnić następujące warstwy architektoniczne, zgodnie z którymi zrealizowano system KRZ: </w:t>
      </w:r>
    </w:p>
    <w:p w14:paraId="1017C8E1" w14:textId="77777777" w:rsidR="00662E2D" w:rsidRPr="004E4AA7" w:rsidRDefault="00662E2D">
      <w:pPr>
        <w:pStyle w:val="Tekstpodstawowyzwciciem2"/>
        <w:numPr>
          <w:ilvl w:val="0"/>
          <w:numId w:val="58"/>
        </w:numPr>
        <w:spacing w:before="120" w:after="120"/>
        <w:ind w:left="1145" w:hanging="357"/>
        <w:jc w:val="both"/>
        <w:rPr>
          <w:sz w:val="20"/>
          <w:szCs w:val="20"/>
        </w:rPr>
      </w:pPr>
      <w:r w:rsidRPr="004E4AA7">
        <w:rPr>
          <w:sz w:val="20"/>
          <w:szCs w:val="20"/>
        </w:rPr>
        <w:t xml:space="preserve">Warstwa prezentacji. Warstwa o charakterze uniwersalnym w ramach której osadzane są aplikacje uruchamiane w przeglądarce internetowej. W ramach opisywanej warstwy dostępny będzie rozproszony rejestr konfiguracji, na podstawie którego </w:t>
      </w:r>
      <w:r w:rsidRPr="004E4AA7">
        <w:rPr>
          <w:sz w:val="20"/>
          <w:szCs w:val="20"/>
        </w:rPr>
        <w:br/>
        <w:t xml:space="preserve">w ramach zdefiniowanego metamodelu określane są elementy GUI </w:t>
      </w:r>
      <w:r w:rsidRPr="004E4AA7">
        <w:rPr>
          <w:sz w:val="20"/>
          <w:szCs w:val="20"/>
        </w:rPr>
        <w:br/>
        <w:t xml:space="preserve">zdefiniowane w poszczególnych systemach MS. Zakłada się wieloplatformowość niniejszej warstwy, to jest możliwość uruchamiania aplikacji na różnych platformach </w:t>
      </w:r>
      <w:r w:rsidRPr="004E4AA7">
        <w:rPr>
          <w:sz w:val="20"/>
          <w:szCs w:val="20"/>
        </w:rPr>
        <w:br/>
        <w:t>i w różnych systemach operacyjnych bez konieczności rekompilacji kodu,</w:t>
      </w:r>
    </w:p>
    <w:p w14:paraId="7B820D71" w14:textId="77777777" w:rsidR="00662E2D" w:rsidRPr="004E4AA7" w:rsidRDefault="00662E2D">
      <w:pPr>
        <w:pStyle w:val="Tekstpodstawowyzwciciem2"/>
        <w:numPr>
          <w:ilvl w:val="0"/>
          <w:numId w:val="58"/>
        </w:numPr>
        <w:spacing w:before="120" w:after="120"/>
        <w:ind w:left="1145" w:hanging="357"/>
        <w:jc w:val="both"/>
        <w:rPr>
          <w:sz w:val="20"/>
          <w:szCs w:val="20"/>
        </w:rPr>
      </w:pPr>
      <w:r w:rsidRPr="004E4AA7">
        <w:rPr>
          <w:sz w:val="20"/>
          <w:szCs w:val="20"/>
        </w:rPr>
        <w:t xml:space="preserve">Warstwa usług ekranowych. W ramach niniejszej warstwy budowane są aplikacje WEB składające się z części klienckiej (ang. </w:t>
      </w:r>
      <w:r w:rsidRPr="004E4AA7">
        <w:rPr>
          <w:rStyle w:val="Uwydatnienie"/>
          <w:sz w:val="20"/>
          <w:szCs w:val="20"/>
        </w:rPr>
        <w:t>frontend</w:t>
      </w:r>
      <w:r w:rsidRPr="004E4AA7">
        <w:rPr>
          <w:sz w:val="20"/>
          <w:szCs w:val="20"/>
        </w:rPr>
        <w:t xml:space="preserve">) i części serwerowej (ang. </w:t>
      </w:r>
      <w:r w:rsidRPr="004E4AA7">
        <w:rPr>
          <w:rStyle w:val="Uwydatnienie"/>
          <w:sz w:val="20"/>
          <w:szCs w:val="20"/>
        </w:rPr>
        <w:t>backend</w:t>
      </w:r>
      <w:r w:rsidRPr="004E4AA7">
        <w:rPr>
          <w:sz w:val="20"/>
          <w:szCs w:val="20"/>
        </w:rPr>
        <w:t xml:space="preserve">). Funkcją części serwerowej jest udostępnianie bezstanowych usług w standardzie SOAP/REST udostępniających dane dla poszczególnych ekranów aplikacji. </w:t>
      </w:r>
      <w:r w:rsidRPr="004E4AA7">
        <w:rPr>
          <w:sz w:val="20"/>
          <w:szCs w:val="20"/>
        </w:rPr>
        <w:br/>
        <w:t xml:space="preserve">Usługi będące elementem części serwerowej modułów GUI nie sięgają bezpośrednio </w:t>
      </w:r>
      <w:r w:rsidRPr="004E4AA7">
        <w:rPr>
          <w:sz w:val="20"/>
          <w:szCs w:val="20"/>
        </w:rPr>
        <w:br/>
        <w:t>do zasobów (np. do bazy danych) lecz korzystają z usług warstwy biznesowej,</w:t>
      </w:r>
    </w:p>
    <w:p w14:paraId="474AA09C" w14:textId="77777777" w:rsidR="00662E2D" w:rsidRPr="004E4AA7" w:rsidRDefault="00662E2D">
      <w:pPr>
        <w:pStyle w:val="Tekstpodstawowyzwciciem2"/>
        <w:numPr>
          <w:ilvl w:val="0"/>
          <w:numId w:val="58"/>
        </w:numPr>
        <w:spacing w:before="120" w:after="120"/>
        <w:ind w:left="1145" w:hanging="357"/>
        <w:jc w:val="both"/>
        <w:rPr>
          <w:sz w:val="20"/>
          <w:szCs w:val="20"/>
        </w:rPr>
      </w:pPr>
      <w:r w:rsidRPr="004E4AA7">
        <w:rPr>
          <w:sz w:val="20"/>
          <w:szCs w:val="20"/>
        </w:rPr>
        <w:t>Warstwa logiki biznesowej. Warstwa zawierająca funkcjonalności wspierająca procesy biznesowe realizowane przez niezależnie uruchamiane aplikacje. Funkcjonalności te dostępne są za pośrednictwem interfejsu,</w:t>
      </w:r>
    </w:p>
    <w:p w14:paraId="1500648E" w14:textId="77777777" w:rsidR="00662E2D" w:rsidRPr="004E4AA7" w:rsidRDefault="00662E2D">
      <w:pPr>
        <w:pStyle w:val="Tekstpodstawowyzwciciem2"/>
        <w:numPr>
          <w:ilvl w:val="0"/>
          <w:numId w:val="58"/>
        </w:numPr>
        <w:spacing w:before="120" w:after="120"/>
        <w:ind w:left="1145" w:hanging="357"/>
        <w:jc w:val="both"/>
        <w:rPr>
          <w:sz w:val="20"/>
          <w:szCs w:val="20"/>
        </w:rPr>
      </w:pPr>
      <w:r w:rsidRPr="004E4AA7">
        <w:rPr>
          <w:sz w:val="20"/>
          <w:szCs w:val="20"/>
        </w:rPr>
        <w:t>Warstwa procesowa. Warstwa w ramach której definiowane są procesy biznesowe wspierane przez dane rozwiązanie (system),</w:t>
      </w:r>
    </w:p>
    <w:p w14:paraId="4B1E53EF" w14:textId="77777777" w:rsidR="00662E2D" w:rsidRPr="004E4AA7" w:rsidRDefault="00662E2D">
      <w:pPr>
        <w:pStyle w:val="Tekstpodstawowyzwciciem2"/>
        <w:numPr>
          <w:ilvl w:val="0"/>
          <w:numId w:val="58"/>
        </w:numPr>
        <w:spacing w:before="120" w:after="120"/>
        <w:ind w:left="1145" w:hanging="357"/>
        <w:jc w:val="both"/>
        <w:rPr>
          <w:sz w:val="20"/>
          <w:szCs w:val="20"/>
        </w:rPr>
      </w:pPr>
      <w:r w:rsidRPr="004E4AA7">
        <w:rPr>
          <w:sz w:val="20"/>
          <w:szCs w:val="20"/>
        </w:rPr>
        <w:t xml:space="preserve">Warstwa danych. Warstwa zawierająca repozytoria danych wykorzystywane (tworzone) w ramach funkcjonalności systemowych wspierających procesy biznesowe </w:t>
      </w:r>
      <w:r w:rsidRPr="004E4AA7">
        <w:rPr>
          <w:sz w:val="20"/>
          <w:szCs w:val="20"/>
        </w:rPr>
        <w:br/>
        <w:t>mające miejsce w Organizacji. Ze względu na utrzymanie rozwiązań wymagane jest wydzielenie dwóch dedykowanych obszarów w ramach warstwy danych, to jest:</w:t>
      </w:r>
    </w:p>
    <w:p w14:paraId="6586C214" w14:textId="77777777" w:rsidR="00662E2D" w:rsidRPr="004E4AA7" w:rsidRDefault="00662E2D">
      <w:pPr>
        <w:pStyle w:val="Tekstpodstawowyzwciciem2"/>
        <w:numPr>
          <w:ilvl w:val="1"/>
          <w:numId w:val="59"/>
        </w:numPr>
        <w:spacing w:before="120" w:after="120"/>
        <w:ind w:left="1418" w:hanging="284"/>
        <w:jc w:val="both"/>
        <w:rPr>
          <w:sz w:val="20"/>
          <w:szCs w:val="20"/>
        </w:rPr>
      </w:pPr>
      <w:r w:rsidRPr="004E4AA7">
        <w:rPr>
          <w:sz w:val="20"/>
          <w:szCs w:val="20"/>
        </w:rPr>
        <w:t>Dane transakcyjne – dane rejestrowane w ramach procesów biznesowych powiązane w sposób bezpośredni ze wspieraną dziedziną biznesową.</w:t>
      </w:r>
    </w:p>
    <w:p w14:paraId="7DD05353" w14:textId="77777777" w:rsidR="00662E2D" w:rsidRPr="004E4AA7" w:rsidRDefault="00662E2D">
      <w:pPr>
        <w:pStyle w:val="Tekstpodstawowyzwciciem2"/>
        <w:numPr>
          <w:ilvl w:val="1"/>
          <w:numId w:val="59"/>
        </w:numPr>
        <w:spacing w:before="120" w:after="120"/>
        <w:ind w:left="1418" w:hanging="284"/>
        <w:jc w:val="both"/>
        <w:rPr>
          <w:sz w:val="20"/>
          <w:szCs w:val="20"/>
        </w:rPr>
      </w:pPr>
      <w:r w:rsidRPr="004E4AA7">
        <w:rPr>
          <w:sz w:val="20"/>
          <w:szCs w:val="20"/>
        </w:rPr>
        <w:t xml:space="preserve">Dane procesowe, dane bezpośrednio powiązane  z przebiegiem procesu, </w:t>
      </w:r>
      <w:r w:rsidRPr="004E4AA7">
        <w:rPr>
          <w:sz w:val="20"/>
          <w:szCs w:val="20"/>
        </w:rPr>
        <w:br/>
        <w:t>których charakter dotyczy wyłącznie przebiegu procesu, natomiast nie są to dane merytoryczne powiązane ze wspieraną dziedziną biznesową.</w:t>
      </w:r>
    </w:p>
    <w:p w14:paraId="3C19A418"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Powyżej wskazane warstwy są tworzone w ramach systemów/aplikacji w oparciu o zdefiniowane wytyczne, standardy i infrastrukturę sprzętowo-technologiczną eksploatowaną i dostępną w MS. Elementy Infrastruktury teleinformatycznej są poza projektem KRZ..</w:t>
      </w:r>
    </w:p>
    <w:p w14:paraId="3EB8F9D2"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 xml:space="preserve">Dodatkowo zgodnie z przyjętą architekturą SOA w ramach Ministerstwa Sprawiedliwości </w:t>
      </w:r>
      <w:r w:rsidRPr="004E4AA7">
        <w:rPr>
          <w:sz w:val="20"/>
          <w:szCs w:val="20"/>
        </w:rPr>
        <w:br/>
        <w:t>należy pamiętać, że wszelkie integracje mające miejsce pomiędzy system KRZ a pozostałymi systemami MS, jak i systemami zewnętrznymi odbywają się za pośrednictwem warstwy integracyjnej w ramach której zdefiniowane następujące elementy:</w:t>
      </w:r>
    </w:p>
    <w:p w14:paraId="5954C39B" w14:textId="77777777" w:rsidR="00662E2D" w:rsidRPr="004E4AA7" w:rsidRDefault="00662E2D">
      <w:pPr>
        <w:pStyle w:val="Tekstpodstawowyzwciciem2"/>
        <w:numPr>
          <w:ilvl w:val="0"/>
          <w:numId w:val="57"/>
        </w:numPr>
        <w:spacing w:before="120" w:after="120"/>
        <w:ind w:left="1066" w:hanging="357"/>
        <w:jc w:val="both"/>
        <w:rPr>
          <w:sz w:val="20"/>
          <w:szCs w:val="20"/>
          <w:lang w:val="en-US"/>
        </w:rPr>
      </w:pPr>
      <w:r w:rsidRPr="004E4AA7">
        <w:rPr>
          <w:sz w:val="20"/>
          <w:szCs w:val="20"/>
          <w:lang w:val="en-US"/>
        </w:rPr>
        <w:lastRenderedPageBreak/>
        <w:t>Szyna usług (ESB - Enterprise Service Bus),</w:t>
      </w:r>
    </w:p>
    <w:p w14:paraId="23E0F4BE" w14:textId="77777777" w:rsidR="00662E2D" w:rsidRPr="004E4AA7" w:rsidRDefault="00662E2D">
      <w:pPr>
        <w:pStyle w:val="Tekstpodstawowyzwciciem2"/>
        <w:numPr>
          <w:ilvl w:val="0"/>
          <w:numId w:val="57"/>
        </w:numPr>
        <w:spacing w:before="120" w:after="120"/>
        <w:ind w:left="1066" w:hanging="357"/>
        <w:jc w:val="both"/>
        <w:rPr>
          <w:sz w:val="20"/>
          <w:szCs w:val="20"/>
        </w:rPr>
      </w:pPr>
      <w:r w:rsidRPr="004E4AA7">
        <w:rPr>
          <w:sz w:val="20"/>
          <w:szCs w:val="20"/>
        </w:rPr>
        <w:t>Serwer kolejek wiadomości (MB - Message Broker),</w:t>
      </w:r>
    </w:p>
    <w:p w14:paraId="0819D1ED" w14:textId="77777777" w:rsidR="00662E2D" w:rsidRPr="004E4AA7" w:rsidRDefault="00662E2D">
      <w:pPr>
        <w:pStyle w:val="Tekstpodstawowyzwciciem2"/>
        <w:numPr>
          <w:ilvl w:val="0"/>
          <w:numId w:val="57"/>
        </w:numPr>
        <w:spacing w:before="120" w:after="120"/>
        <w:ind w:left="1066" w:hanging="357"/>
        <w:jc w:val="both"/>
        <w:rPr>
          <w:sz w:val="20"/>
          <w:szCs w:val="20"/>
        </w:rPr>
      </w:pPr>
      <w:r w:rsidRPr="004E4AA7">
        <w:rPr>
          <w:sz w:val="20"/>
          <w:szCs w:val="20"/>
        </w:rPr>
        <w:t>Serwer przesyłania plików (FB - File Broker),</w:t>
      </w:r>
    </w:p>
    <w:p w14:paraId="61972DB7" w14:textId="77777777" w:rsidR="00662E2D" w:rsidRPr="004E4AA7" w:rsidRDefault="00662E2D">
      <w:pPr>
        <w:pStyle w:val="Tekstpodstawowyzwciciem2"/>
        <w:numPr>
          <w:ilvl w:val="0"/>
          <w:numId w:val="57"/>
        </w:numPr>
        <w:spacing w:before="120" w:after="120"/>
        <w:ind w:left="1066" w:hanging="357"/>
        <w:jc w:val="both"/>
        <w:rPr>
          <w:sz w:val="20"/>
          <w:szCs w:val="20"/>
        </w:rPr>
      </w:pPr>
      <w:r w:rsidRPr="004E4AA7">
        <w:rPr>
          <w:sz w:val="20"/>
          <w:szCs w:val="20"/>
        </w:rPr>
        <w:t>Silnika procesów biznesowych (BPE - Business Proces Engine).</w:t>
      </w:r>
    </w:p>
    <w:p w14:paraId="7FC19D4B" w14:textId="77777777" w:rsidR="00662E2D" w:rsidRPr="004E4AA7" w:rsidRDefault="00662E2D" w:rsidP="000D3B07">
      <w:pPr>
        <w:pStyle w:val="Tekstpodstawowyzwciciem2"/>
        <w:spacing w:before="120" w:after="120"/>
        <w:ind w:left="357" w:firstLine="0"/>
        <w:jc w:val="both"/>
        <w:rPr>
          <w:sz w:val="20"/>
          <w:szCs w:val="20"/>
        </w:rPr>
      </w:pPr>
      <w:r w:rsidRPr="004E4AA7">
        <w:rPr>
          <w:sz w:val="20"/>
          <w:szCs w:val="20"/>
        </w:rPr>
        <w:t>W ramach projektu KRZ wykonano dodatkowo:</w:t>
      </w:r>
    </w:p>
    <w:p w14:paraId="41BC41F4" w14:textId="77777777" w:rsidR="00662E2D" w:rsidRPr="004E4AA7" w:rsidRDefault="00662E2D">
      <w:pPr>
        <w:pStyle w:val="Tekstpodstawowyzwciciem2"/>
        <w:numPr>
          <w:ilvl w:val="0"/>
          <w:numId w:val="60"/>
        </w:numPr>
        <w:spacing w:before="120" w:after="120"/>
        <w:ind w:hanging="368"/>
        <w:jc w:val="both"/>
        <w:rPr>
          <w:sz w:val="20"/>
          <w:szCs w:val="20"/>
        </w:rPr>
      </w:pPr>
      <w:r w:rsidRPr="004E4AA7">
        <w:rPr>
          <w:sz w:val="20"/>
          <w:szCs w:val="20"/>
        </w:rPr>
        <w:t>Adaptery do rozwiązań obecnie istniejących w ramach MS, z którymi wymagana jest integracja systemu KRZ,</w:t>
      </w:r>
    </w:p>
    <w:p w14:paraId="6E3B0348" w14:textId="77777777" w:rsidR="00662E2D" w:rsidRPr="004E4AA7" w:rsidRDefault="00662E2D" w:rsidP="000D3B07">
      <w:pPr>
        <w:pStyle w:val="Tekstpodstawowyzwciciem2"/>
        <w:tabs>
          <w:tab w:val="left" w:pos="1134"/>
        </w:tabs>
        <w:spacing w:before="120" w:after="120"/>
        <w:ind w:left="717" w:hanging="8"/>
        <w:jc w:val="both"/>
        <w:rPr>
          <w:sz w:val="20"/>
          <w:szCs w:val="20"/>
        </w:rPr>
      </w:pPr>
      <w:r w:rsidRPr="004E4AA7">
        <w:rPr>
          <w:sz w:val="20"/>
          <w:szCs w:val="20"/>
        </w:rPr>
        <w:t>2.</w:t>
      </w:r>
      <w:r w:rsidRPr="004E4AA7">
        <w:rPr>
          <w:sz w:val="20"/>
          <w:szCs w:val="20"/>
        </w:rPr>
        <w:tab/>
        <w:t>Utworzono Modelu Dziedziny Systemu w zakresie warstwy integracji z innymi systemami.</w:t>
      </w:r>
    </w:p>
    <w:p w14:paraId="68F9D298"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W ramach projektu KRZ wykonano integrację z zestawem usług odpowiedzialnych za szeroko rozumiany proces uwierzytelniania (identyfikacji) wykonywany na potrzeby:</w:t>
      </w:r>
    </w:p>
    <w:p w14:paraId="531111B8" w14:textId="77777777" w:rsidR="00662E2D" w:rsidRPr="004E4AA7" w:rsidRDefault="00662E2D">
      <w:pPr>
        <w:pStyle w:val="Tekstpodstawowyzwciciem2"/>
        <w:numPr>
          <w:ilvl w:val="0"/>
          <w:numId w:val="61"/>
        </w:numPr>
        <w:spacing w:before="120" w:after="120"/>
        <w:jc w:val="both"/>
        <w:rPr>
          <w:sz w:val="20"/>
          <w:szCs w:val="20"/>
        </w:rPr>
      </w:pPr>
      <w:r w:rsidRPr="004E4AA7">
        <w:rPr>
          <w:sz w:val="20"/>
          <w:szCs w:val="20"/>
        </w:rPr>
        <w:t>Użytkowników wewnętrznych (AD) – w tym zakresie wykorzystano usługi udostępniane przez AD i mechanizm SSO,</w:t>
      </w:r>
    </w:p>
    <w:p w14:paraId="50E1AD63" w14:textId="77777777" w:rsidR="00662E2D" w:rsidRPr="004E4AA7" w:rsidRDefault="00662E2D">
      <w:pPr>
        <w:pStyle w:val="Tekstpodstawowyzwciciem2"/>
        <w:numPr>
          <w:ilvl w:val="0"/>
          <w:numId w:val="61"/>
        </w:numPr>
        <w:spacing w:before="120" w:after="120"/>
        <w:jc w:val="both"/>
        <w:rPr>
          <w:sz w:val="20"/>
          <w:szCs w:val="20"/>
        </w:rPr>
      </w:pPr>
      <w:r w:rsidRPr="004E4AA7">
        <w:rPr>
          <w:sz w:val="20"/>
          <w:szCs w:val="20"/>
        </w:rPr>
        <w:t>Użytkowników zarejestrowanych.</w:t>
      </w:r>
    </w:p>
    <w:p w14:paraId="033C8DA5" w14:textId="77777777" w:rsidR="00EB2EDD" w:rsidRPr="004E4AA7" w:rsidRDefault="00EB2EDD" w:rsidP="000D3B07">
      <w:pPr>
        <w:pStyle w:val="Tekstpodstawowyzwciciem2"/>
        <w:spacing w:before="120" w:after="120"/>
        <w:ind w:left="786" w:firstLine="0"/>
        <w:jc w:val="both"/>
        <w:rPr>
          <w:sz w:val="20"/>
          <w:szCs w:val="20"/>
        </w:rPr>
      </w:pPr>
    </w:p>
    <w:p w14:paraId="585C06E5" w14:textId="22DFFE35" w:rsidR="00662E2D" w:rsidRPr="00D60E51" w:rsidRDefault="00D60E51" w:rsidP="00D60E51">
      <w:pPr>
        <w:pStyle w:val="Nagwek3"/>
        <w:rPr>
          <w:b/>
          <w:bCs/>
          <w:i w:val="0"/>
          <w:iCs w:val="0"/>
          <w:sz w:val="22"/>
          <w:szCs w:val="22"/>
        </w:rPr>
      </w:pPr>
      <w:bookmarkStart w:id="55" w:name="_Toc523217112"/>
      <w:bookmarkStart w:id="56" w:name="_Ref524329789"/>
      <w:bookmarkStart w:id="57" w:name="_Toc14877580"/>
      <w:bookmarkStart w:id="58" w:name="_Toc134561912"/>
      <w:bookmarkStart w:id="59" w:name="_Toc134563676"/>
      <w:r>
        <w:rPr>
          <w:b/>
          <w:bCs/>
          <w:i w:val="0"/>
          <w:iCs w:val="0"/>
          <w:sz w:val="22"/>
          <w:szCs w:val="22"/>
        </w:rPr>
        <w:t xml:space="preserve">6.2  </w:t>
      </w:r>
      <w:r w:rsidR="00662E2D" w:rsidRPr="00D60E51">
        <w:rPr>
          <w:b/>
          <w:bCs/>
          <w:i w:val="0"/>
          <w:iCs w:val="0"/>
          <w:sz w:val="22"/>
          <w:szCs w:val="22"/>
        </w:rPr>
        <w:t>Model środowiskowy systemu KRZ</w:t>
      </w:r>
      <w:bookmarkEnd w:id="55"/>
      <w:bookmarkEnd w:id="56"/>
      <w:bookmarkEnd w:id="57"/>
      <w:bookmarkEnd w:id="58"/>
      <w:bookmarkEnd w:id="59"/>
    </w:p>
    <w:p w14:paraId="5D81670A"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Poniższy diagram przedstawia systemy, które zintegrowano z systemem KRZ. W ramach środowiska można wyróżnić następujące grupy:</w:t>
      </w:r>
    </w:p>
    <w:p w14:paraId="485AE165" w14:textId="77777777" w:rsidR="00662E2D" w:rsidRPr="004E4AA7" w:rsidRDefault="00662E2D">
      <w:pPr>
        <w:pStyle w:val="Akapitzlist"/>
        <w:numPr>
          <w:ilvl w:val="0"/>
          <w:numId w:val="62"/>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System KRZ,</w:t>
      </w:r>
    </w:p>
    <w:p w14:paraId="6185B5B5" w14:textId="77777777" w:rsidR="00662E2D" w:rsidRPr="004E4AA7" w:rsidRDefault="00662E2D">
      <w:pPr>
        <w:pStyle w:val="Akapitzlist"/>
        <w:numPr>
          <w:ilvl w:val="0"/>
          <w:numId w:val="62"/>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 xml:space="preserve">Systemy zewnętrzne, z którymi system KRZ za pośrednictwem warstwy integracyjnej </w:t>
      </w:r>
      <w:r w:rsidRPr="004E4AA7">
        <w:rPr>
          <w:rFonts w:ascii="Times New Roman" w:hAnsi="Times New Roman" w:cs="Times New Roman"/>
          <w:sz w:val="20"/>
          <w:szCs w:val="20"/>
        </w:rPr>
        <w:br/>
        <w:t>komunikuje się w ramach wspieranych procesów biznesowych,</w:t>
      </w:r>
    </w:p>
    <w:p w14:paraId="6198CEAC" w14:textId="77777777" w:rsidR="00662E2D" w:rsidRPr="004E4AA7" w:rsidRDefault="00662E2D">
      <w:pPr>
        <w:pStyle w:val="Akapitzlist"/>
        <w:numPr>
          <w:ilvl w:val="0"/>
          <w:numId w:val="62"/>
        </w:numPr>
        <w:spacing w:before="120" w:after="120" w:line="240" w:lineRule="auto"/>
        <w:contextualSpacing/>
        <w:jc w:val="both"/>
        <w:rPr>
          <w:rFonts w:ascii="Times New Roman" w:hAnsi="Times New Roman" w:cs="Times New Roman"/>
          <w:sz w:val="20"/>
          <w:szCs w:val="20"/>
        </w:rPr>
      </w:pPr>
      <w:r w:rsidRPr="004E4AA7">
        <w:rPr>
          <w:rFonts w:ascii="Times New Roman" w:hAnsi="Times New Roman" w:cs="Times New Roman"/>
          <w:sz w:val="20"/>
          <w:szCs w:val="20"/>
        </w:rPr>
        <w:t>Systemy wewnętrzne, z którymi system KRZ komunikuje się za pośrednictwem warstwy integracyjnej w ramach wspieranych procesów biznesowych.</w:t>
      </w:r>
    </w:p>
    <w:p w14:paraId="3E3D883B" w14:textId="77777777" w:rsidR="00662E2D" w:rsidRPr="004E4AA7" w:rsidRDefault="00662E2D" w:rsidP="000D3B07">
      <w:pPr>
        <w:keepNext/>
        <w:spacing w:before="120" w:after="120"/>
        <w:jc w:val="center"/>
        <w:rPr>
          <w:sz w:val="20"/>
          <w:szCs w:val="20"/>
        </w:rPr>
      </w:pPr>
      <w:r w:rsidRPr="004E4AA7">
        <w:rPr>
          <w:sz w:val="20"/>
          <w:szCs w:val="20"/>
        </w:rPr>
        <w:object w:dxaOrig="16063" w:dyaOrig="3364" w14:anchorId="36D90158">
          <v:shape id="_x0000_i1026" type="#_x0000_t75" style="width:423pt;height:95.4pt" o:ole="">
            <v:imagedata r:id="rId15" o:title=""/>
          </v:shape>
          <o:OLEObject Type="Embed" ProgID="Visio.Drawing.11" ShapeID="_x0000_i1026" DrawAspect="Content" ObjectID="_1755933452" r:id="rId16"/>
        </w:object>
      </w:r>
    </w:p>
    <w:p w14:paraId="59A020EA" w14:textId="074CA972" w:rsidR="00662E2D" w:rsidRPr="004E4AA7" w:rsidRDefault="00662E2D" w:rsidP="000D3B07">
      <w:pPr>
        <w:pStyle w:val="Legenda"/>
        <w:spacing w:before="120" w:after="120"/>
        <w:jc w:val="center"/>
        <w:rPr>
          <w:rFonts w:ascii="Times New Roman" w:hAnsi="Times New Roman"/>
          <w:sz w:val="16"/>
          <w:szCs w:val="16"/>
        </w:rPr>
      </w:pPr>
      <w:r w:rsidRPr="004E4AA7">
        <w:rPr>
          <w:rFonts w:ascii="Times New Roman" w:hAnsi="Times New Roman"/>
          <w:sz w:val="16"/>
          <w:szCs w:val="16"/>
        </w:rPr>
        <w:t xml:space="preserve">Rysunek </w:t>
      </w:r>
      <w:r w:rsidR="008024E6" w:rsidRPr="004E4AA7">
        <w:rPr>
          <w:rFonts w:ascii="Times New Roman" w:hAnsi="Times New Roman"/>
          <w:sz w:val="16"/>
          <w:szCs w:val="16"/>
        </w:rPr>
        <w:t>2</w:t>
      </w:r>
      <w:r w:rsidRPr="004E4AA7">
        <w:rPr>
          <w:rFonts w:ascii="Times New Roman" w:hAnsi="Times New Roman"/>
          <w:sz w:val="16"/>
          <w:szCs w:val="16"/>
        </w:rPr>
        <w:t xml:space="preserve"> Środowisko integracyjne systemu KRZ</w:t>
      </w:r>
    </w:p>
    <w:p w14:paraId="66C2E31D" w14:textId="77777777" w:rsidR="007C4F39" w:rsidRPr="004E4AA7" w:rsidRDefault="007C4F39" w:rsidP="000D3B07">
      <w:pPr>
        <w:spacing w:before="120" w:after="120"/>
        <w:rPr>
          <w:sz w:val="20"/>
          <w:szCs w:val="20"/>
        </w:rPr>
      </w:pPr>
    </w:p>
    <w:p w14:paraId="6F1B96E8" w14:textId="0E22C3EC" w:rsidR="00662E2D" w:rsidRPr="004E4AA7" w:rsidRDefault="00662E2D" w:rsidP="008024E6">
      <w:pPr>
        <w:spacing w:before="120" w:after="120"/>
        <w:ind w:firstLine="284"/>
        <w:rPr>
          <w:sz w:val="20"/>
          <w:szCs w:val="20"/>
        </w:rPr>
      </w:pPr>
      <w:r w:rsidRPr="004E4AA7">
        <w:rPr>
          <w:sz w:val="20"/>
          <w:szCs w:val="20"/>
        </w:rPr>
        <w:t>Znaczenie poszczególnych kolorów i obramowań na powyższym diagramie jest następujące:</w:t>
      </w:r>
    </w:p>
    <w:p w14:paraId="107943B0" w14:textId="77777777" w:rsidR="00662E2D" w:rsidRPr="004E4AA7" w:rsidRDefault="00662E2D">
      <w:pPr>
        <w:pStyle w:val="Akapitzlist"/>
        <w:numPr>
          <w:ilvl w:val="0"/>
          <w:numId w:val="56"/>
        </w:numPr>
        <w:autoSpaceDE w:val="0"/>
        <w:autoSpaceDN w:val="0"/>
        <w:adjustRightInd w:val="0"/>
        <w:spacing w:before="120" w:after="120" w:line="240" w:lineRule="auto"/>
        <w:ind w:left="714" w:hanging="357"/>
        <w:contextualSpacing/>
        <w:rPr>
          <w:rFonts w:ascii="Times New Roman" w:hAnsi="Times New Roman" w:cs="Times New Roman"/>
          <w:sz w:val="20"/>
          <w:szCs w:val="20"/>
        </w:rPr>
      </w:pPr>
      <w:r w:rsidRPr="004E4AA7">
        <w:rPr>
          <w:rFonts w:ascii="Times New Roman" w:hAnsi="Times New Roman" w:cs="Times New Roman"/>
          <w:sz w:val="20"/>
          <w:szCs w:val="20"/>
        </w:rPr>
        <w:object w:dxaOrig="778" w:dyaOrig="329" w14:anchorId="3E1560BD">
          <v:shape id="_x0000_i1027" type="#_x0000_t75" style="width:39.6pt;height:13.2pt" o:ole="">
            <v:imagedata r:id="rId17" o:title=""/>
          </v:shape>
          <o:OLEObject Type="Embed" ProgID="Visio.Drawing.11" ShapeID="_x0000_i1027" DrawAspect="Content" ObjectID="_1755933453" r:id="rId18"/>
        </w:object>
      </w:r>
      <w:r w:rsidRPr="004E4AA7">
        <w:rPr>
          <w:rFonts w:ascii="Times New Roman" w:hAnsi="Times New Roman" w:cs="Times New Roman"/>
          <w:sz w:val="20"/>
          <w:szCs w:val="20"/>
        </w:rPr>
        <w:t xml:space="preserve"> Elementy architektury stworzone w ramach KRZ</w:t>
      </w:r>
    </w:p>
    <w:p w14:paraId="17265EBA" w14:textId="77777777" w:rsidR="00662E2D" w:rsidRPr="004E4AA7" w:rsidRDefault="00662E2D">
      <w:pPr>
        <w:pStyle w:val="Akapitzlist"/>
        <w:numPr>
          <w:ilvl w:val="0"/>
          <w:numId w:val="56"/>
        </w:numPr>
        <w:autoSpaceDE w:val="0"/>
        <w:autoSpaceDN w:val="0"/>
        <w:adjustRightInd w:val="0"/>
        <w:spacing w:before="120" w:after="120" w:line="240" w:lineRule="auto"/>
        <w:ind w:left="714" w:hanging="357"/>
        <w:contextualSpacing/>
        <w:rPr>
          <w:rFonts w:ascii="Times New Roman" w:hAnsi="Times New Roman" w:cs="Times New Roman"/>
          <w:sz w:val="20"/>
          <w:szCs w:val="20"/>
        </w:rPr>
      </w:pPr>
      <w:r w:rsidRPr="004E4AA7">
        <w:rPr>
          <w:rFonts w:ascii="Times New Roman" w:hAnsi="Times New Roman" w:cs="Times New Roman"/>
          <w:sz w:val="20"/>
          <w:szCs w:val="20"/>
        </w:rPr>
        <w:object w:dxaOrig="778" w:dyaOrig="270" w14:anchorId="552D0F58">
          <v:shape id="_x0000_i1028" type="#_x0000_t75" style="width:39.6pt;height:13.2pt" o:ole="">
            <v:imagedata r:id="rId19" o:title=""/>
          </v:shape>
          <o:OLEObject Type="Embed" ProgID="Visio.Drawing.11" ShapeID="_x0000_i1028" DrawAspect="Content" ObjectID="_1755933454" r:id="rId20"/>
        </w:object>
      </w:r>
      <w:r w:rsidRPr="004E4AA7">
        <w:rPr>
          <w:rFonts w:ascii="Times New Roman" w:hAnsi="Times New Roman" w:cs="Times New Roman"/>
          <w:sz w:val="20"/>
          <w:szCs w:val="20"/>
        </w:rPr>
        <w:t xml:space="preserve"> Systemy objęte pracami integracyjnymi </w:t>
      </w:r>
    </w:p>
    <w:p w14:paraId="360CCA5B" w14:textId="303AC49A" w:rsidR="00662E2D" w:rsidRPr="004E4AA7" w:rsidRDefault="00662E2D">
      <w:pPr>
        <w:pStyle w:val="Akapitzlist"/>
        <w:numPr>
          <w:ilvl w:val="0"/>
          <w:numId w:val="56"/>
        </w:numPr>
        <w:autoSpaceDE w:val="0"/>
        <w:autoSpaceDN w:val="0"/>
        <w:adjustRightInd w:val="0"/>
        <w:spacing w:before="120" w:after="120" w:line="240" w:lineRule="auto"/>
        <w:ind w:left="714" w:hanging="357"/>
        <w:contextualSpacing/>
        <w:rPr>
          <w:rFonts w:ascii="Times New Roman" w:hAnsi="Times New Roman" w:cs="Times New Roman"/>
          <w:sz w:val="20"/>
          <w:szCs w:val="20"/>
        </w:rPr>
      </w:pPr>
      <w:r w:rsidRPr="004E4AA7">
        <w:rPr>
          <w:rFonts w:ascii="Times New Roman" w:hAnsi="Times New Roman" w:cs="Times New Roman"/>
          <w:sz w:val="20"/>
          <w:szCs w:val="20"/>
        </w:rPr>
        <w:object w:dxaOrig="778" w:dyaOrig="329" w14:anchorId="3CB29742">
          <v:shape id="_x0000_i1029" type="#_x0000_t75" style="width:39.6pt;height:13.2pt" o:ole="">
            <v:imagedata r:id="rId21" o:title=""/>
          </v:shape>
          <o:OLEObject Type="Embed" ProgID="Visio.Drawing.11" ShapeID="_x0000_i1029" DrawAspect="Content" ObjectID="_1755933455" r:id="rId22"/>
        </w:object>
      </w:r>
      <w:r w:rsidRPr="004E4AA7">
        <w:rPr>
          <w:rFonts w:ascii="Times New Roman" w:hAnsi="Times New Roman" w:cs="Times New Roman"/>
          <w:sz w:val="20"/>
          <w:szCs w:val="20"/>
        </w:rPr>
        <w:t xml:space="preserve"> Systemy objęte pracami integracyjnymi w ramach prac rozwojowych</w:t>
      </w:r>
    </w:p>
    <w:p w14:paraId="599527ED" w14:textId="77777777" w:rsidR="007C4F39" w:rsidRPr="004E4AA7" w:rsidRDefault="007C4F39" w:rsidP="000D3B07">
      <w:pPr>
        <w:pStyle w:val="Akapitzlist"/>
        <w:autoSpaceDE w:val="0"/>
        <w:autoSpaceDN w:val="0"/>
        <w:adjustRightInd w:val="0"/>
        <w:spacing w:before="120" w:after="120" w:line="240" w:lineRule="auto"/>
        <w:ind w:left="714"/>
        <w:contextualSpacing/>
        <w:rPr>
          <w:rFonts w:ascii="Times New Roman" w:hAnsi="Times New Roman" w:cs="Times New Roman"/>
          <w:sz w:val="20"/>
          <w:szCs w:val="20"/>
        </w:rPr>
      </w:pPr>
    </w:p>
    <w:p w14:paraId="23BBD529" w14:textId="71DB7EA1" w:rsidR="00662E2D" w:rsidRPr="00D60E51" w:rsidRDefault="00D60E51" w:rsidP="00D60E51">
      <w:pPr>
        <w:pStyle w:val="Nagwek3"/>
        <w:rPr>
          <w:b/>
          <w:bCs/>
          <w:i w:val="0"/>
          <w:iCs w:val="0"/>
          <w:sz w:val="22"/>
          <w:szCs w:val="22"/>
        </w:rPr>
      </w:pPr>
      <w:bookmarkStart w:id="60" w:name="_Toc523217113"/>
      <w:bookmarkStart w:id="61" w:name="_Ref524330875"/>
      <w:bookmarkStart w:id="62" w:name="_Toc14877581"/>
      <w:bookmarkStart w:id="63" w:name="_Toc134561913"/>
      <w:bookmarkStart w:id="64" w:name="_Toc134563677"/>
      <w:r>
        <w:rPr>
          <w:b/>
          <w:bCs/>
          <w:i w:val="0"/>
          <w:iCs w:val="0"/>
          <w:sz w:val="22"/>
          <w:szCs w:val="22"/>
        </w:rPr>
        <w:t xml:space="preserve">6.3  </w:t>
      </w:r>
      <w:r w:rsidR="00662E2D" w:rsidRPr="00D60E51">
        <w:rPr>
          <w:b/>
          <w:bCs/>
          <w:i w:val="0"/>
          <w:iCs w:val="0"/>
          <w:sz w:val="22"/>
          <w:szCs w:val="22"/>
        </w:rPr>
        <w:t>Główne elementy funkcjonalne architektury systemu</w:t>
      </w:r>
      <w:bookmarkEnd w:id="60"/>
      <w:bookmarkEnd w:id="61"/>
      <w:bookmarkEnd w:id="62"/>
      <w:bookmarkEnd w:id="63"/>
      <w:bookmarkEnd w:id="64"/>
    </w:p>
    <w:p w14:paraId="77ED4009"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Funkcjonalności Systemu KRZ zostały udostępniane na kilku portalach następującym grupom użytkowników:</w:t>
      </w:r>
    </w:p>
    <w:p w14:paraId="63BE97AC" w14:textId="77777777" w:rsidR="00662E2D" w:rsidRPr="004E4AA7" w:rsidRDefault="00662E2D">
      <w:pPr>
        <w:pStyle w:val="Lista3"/>
        <w:numPr>
          <w:ilvl w:val="0"/>
          <w:numId w:val="63"/>
        </w:numPr>
        <w:spacing w:before="120" w:after="120"/>
        <w:ind w:left="714" w:hanging="357"/>
        <w:jc w:val="both"/>
        <w:rPr>
          <w:sz w:val="20"/>
          <w:szCs w:val="20"/>
        </w:rPr>
      </w:pPr>
      <w:r w:rsidRPr="004E4AA7">
        <w:rPr>
          <w:b/>
          <w:sz w:val="20"/>
          <w:szCs w:val="20"/>
        </w:rPr>
        <w:t>Publiczność</w:t>
      </w:r>
      <w:r w:rsidRPr="004E4AA7">
        <w:rPr>
          <w:sz w:val="20"/>
          <w:szCs w:val="20"/>
        </w:rPr>
        <w:t xml:space="preserve"> – Portal Krajowego Rejestru Zadłużonych udostępniający funkcjonalności dla publiczności. Zadaniem Portalu Krajowego Rejestru Zadłużonych </w:t>
      </w:r>
      <w:r w:rsidRPr="004E4AA7">
        <w:rPr>
          <w:sz w:val="20"/>
          <w:szCs w:val="20"/>
        </w:rPr>
        <w:br/>
        <w:t xml:space="preserve">jest zapewnienie dostępu dla szerokiej publiczności do informacji o dłużnikach niewypłacalnych oraz innych informacji związanych z postępowaniami restrukturyzacyjnymi i upadłościowymi prowadzonymi przez polskie sądy, w tym obwieszczeń publikowanych w kontekście postępowań, zarejestrowanych w Krajowym Rejestrze Zadłużonych </w:t>
      </w:r>
      <w:r w:rsidRPr="004E4AA7">
        <w:rPr>
          <w:sz w:val="20"/>
          <w:szCs w:val="20"/>
        </w:rPr>
        <w:br/>
        <w:t xml:space="preserve">oraz składnikach majątku dłużników niewypłacalnych przewidzianych do sprzedaży. </w:t>
      </w:r>
    </w:p>
    <w:p w14:paraId="21CD8BCF" w14:textId="77777777" w:rsidR="00662E2D" w:rsidRPr="004E4AA7" w:rsidRDefault="00662E2D">
      <w:pPr>
        <w:pStyle w:val="Lista3"/>
        <w:numPr>
          <w:ilvl w:val="0"/>
          <w:numId w:val="63"/>
        </w:numPr>
        <w:spacing w:before="120" w:after="120"/>
        <w:jc w:val="both"/>
        <w:rPr>
          <w:sz w:val="20"/>
          <w:szCs w:val="20"/>
        </w:rPr>
      </w:pPr>
      <w:r w:rsidRPr="004E4AA7">
        <w:rPr>
          <w:b/>
          <w:sz w:val="20"/>
          <w:szCs w:val="20"/>
        </w:rPr>
        <w:lastRenderedPageBreak/>
        <w:t xml:space="preserve">Użytkownicy zarejestrowani i branżowi </w:t>
      </w:r>
      <w:r w:rsidRPr="004E4AA7">
        <w:rPr>
          <w:sz w:val="20"/>
          <w:szCs w:val="20"/>
        </w:rPr>
        <w:t xml:space="preserve">- Portal umożliwia podmiotom uwierzytelnionym będącym zainteresowanymi, uczestnikami bądź pozasądowymi organami postępowania restrukturyzacyjnego lub upadłościowego sporządzenie pisma z użyciem formularza elektronicznego oraz przekazanie go do odpowiedniego uczestnika procesu, </w:t>
      </w:r>
      <w:r w:rsidRPr="004E4AA7">
        <w:rPr>
          <w:sz w:val="20"/>
          <w:szCs w:val="20"/>
        </w:rPr>
        <w:br/>
        <w:t>dostęp do elektronicznej skrzynki odbiorczej, służącej do doręczeń oraz dostęp do akt sądowych.</w:t>
      </w:r>
    </w:p>
    <w:p w14:paraId="6579545F" w14:textId="77777777" w:rsidR="00662E2D" w:rsidRPr="004E4AA7" w:rsidRDefault="00662E2D">
      <w:pPr>
        <w:pStyle w:val="Lista3"/>
        <w:numPr>
          <w:ilvl w:val="0"/>
          <w:numId w:val="63"/>
        </w:numPr>
        <w:spacing w:before="120" w:after="120"/>
        <w:jc w:val="both"/>
        <w:rPr>
          <w:sz w:val="20"/>
          <w:szCs w:val="20"/>
        </w:rPr>
      </w:pPr>
      <w:r w:rsidRPr="004E4AA7">
        <w:rPr>
          <w:b/>
          <w:sz w:val="20"/>
          <w:szCs w:val="20"/>
        </w:rPr>
        <w:t xml:space="preserve">Użytkownicy wewnętrzni </w:t>
      </w:r>
      <w:r w:rsidRPr="004E4AA7">
        <w:rPr>
          <w:sz w:val="20"/>
          <w:szCs w:val="20"/>
        </w:rPr>
        <w:t>– Portal Sądowy udostępniający funkcjonalność dla sądowych organów postępowania, w tym biura podawczego, sekretariatu wydziału, przewodniczącego wydziału, referendarza oraz sędziego. Zadaniem Portalu Sądowego  jest zapewnienie pracownikom sądów prowadzących postępowania restrukturyzacyjne i upadłościowe dostępu do funkcjonalności wspierających prowadzenie postępowań. W zależności od profilu użytkownika portal udostępnia odpowiednią funkcjonalność:</w:t>
      </w:r>
    </w:p>
    <w:p w14:paraId="7AA6A7FC" w14:textId="77777777" w:rsidR="00662E2D" w:rsidRPr="004E4AA7" w:rsidRDefault="00662E2D">
      <w:pPr>
        <w:pStyle w:val="Lista3"/>
        <w:numPr>
          <w:ilvl w:val="0"/>
          <w:numId w:val="64"/>
        </w:numPr>
        <w:spacing w:before="120" w:after="120"/>
        <w:jc w:val="both"/>
        <w:rPr>
          <w:sz w:val="20"/>
          <w:szCs w:val="20"/>
        </w:rPr>
      </w:pPr>
      <w:r w:rsidRPr="004E4AA7">
        <w:rPr>
          <w:sz w:val="20"/>
          <w:szCs w:val="20"/>
        </w:rPr>
        <w:t>Pracownicy biura podawczego sądu mają możliwość obsługi dokumentów wpływających, w tym rejestrację dokumentów wpływających drogą elektroniczną i papierową oraz rejestrację treści oświadczeń lub wniosków przekazywanych ustnie,</w:t>
      </w:r>
    </w:p>
    <w:p w14:paraId="668768D4" w14:textId="77777777" w:rsidR="00662E2D" w:rsidRPr="004E4AA7" w:rsidRDefault="00662E2D">
      <w:pPr>
        <w:pStyle w:val="Lista3"/>
        <w:numPr>
          <w:ilvl w:val="0"/>
          <w:numId w:val="64"/>
        </w:numPr>
        <w:spacing w:before="120" w:after="120"/>
        <w:jc w:val="both"/>
        <w:rPr>
          <w:sz w:val="20"/>
          <w:szCs w:val="20"/>
        </w:rPr>
      </w:pPr>
      <w:r w:rsidRPr="004E4AA7">
        <w:rPr>
          <w:sz w:val="20"/>
          <w:szCs w:val="20"/>
        </w:rPr>
        <w:t>Pracownicy sekretariatu wydziału restrukturyzacyjnego i upadłościowego mają możliwość obsługi postępowań sądowych, w tym obsługi dokumentów wpływających do wydziału, przygotowania dokumentów i projektów decyzji sądu, rejestrowania dokumentów w aktach sądowych, obsługi korespondencji wychodzącej, publikacji obwieszczeń oraz wprowadzania danych do Krajowego Rejestru Zadłużonych. Obsługa dokumentów odbywa się drogą elektroniczną, jak również papierową.</w:t>
      </w:r>
    </w:p>
    <w:p w14:paraId="73CD77A3" w14:textId="77777777" w:rsidR="00662E2D" w:rsidRPr="004E4AA7" w:rsidRDefault="00662E2D">
      <w:pPr>
        <w:pStyle w:val="Lista3"/>
        <w:numPr>
          <w:ilvl w:val="0"/>
          <w:numId w:val="64"/>
        </w:numPr>
        <w:spacing w:before="120" w:after="120"/>
        <w:jc w:val="both"/>
        <w:rPr>
          <w:sz w:val="20"/>
          <w:szCs w:val="20"/>
        </w:rPr>
      </w:pPr>
      <w:r w:rsidRPr="004E4AA7">
        <w:rPr>
          <w:sz w:val="20"/>
          <w:szCs w:val="20"/>
        </w:rPr>
        <w:t>Przewodniczący wydziałów restrukturyzacyjnych i upadłościowych mają możliwość kierowania pracą wydziałów, w tym przygotowania projektów i wydawania decyzji Przewodniczącego wydziału oraz zapoznania się ze statystyką pracy wydziału.</w:t>
      </w:r>
    </w:p>
    <w:p w14:paraId="2C739443" w14:textId="77777777" w:rsidR="00662E2D" w:rsidRPr="004E4AA7" w:rsidRDefault="00662E2D">
      <w:pPr>
        <w:pStyle w:val="Lista3"/>
        <w:numPr>
          <w:ilvl w:val="0"/>
          <w:numId w:val="64"/>
        </w:numPr>
        <w:spacing w:before="120" w:after="120"/>
        <w:jc w:val="both"/>
        <w:rPr>
          <w:sz w:val="20"/>
          <w:szCs w:val="20"/>
        </w:rPr>
      </w:pPr>
      <w:r w:rsidRPr="004E4AA7">
        <w:rPr>
          <w:sz w:val="20"/>
          <w:szCs w:val="20"/>
        </w:rPr>
        <w:t>Pracownicy wydziałów restrukturyzacyjnych i upadłościowych mają możliwość prowadzenia postępowania restrukturyzacyjnego i upadłościowego, w tym prowadzenia akt postępowania, przygotowania projektu i wydawania decyzji w postępowaniach, dostępu do danych gromadzonych w krajowych rejestrach, istotnych z perspektywy postępowania.</w:t>
      </w:r>
    </w:p>
    <w:p w14:paraId="690BA57B" w14:textId="77777777" w:rsidR="00662E2D" w:rsidRPr="004E4AA7" w:rsidRDefault="00662E2D" w:rsidP="000D3B07">
      <w:pPr>
        <w:pStyle w:val="Tekstpodstawowyzwciciem2"/>
        <w:spacing w:before="120" w:after="120"/>
        <w:ind w:left="425" w:firstLine="0"/>
        <w:jc w:val="both"/>
        <w:rPr>
          <w:sz w:val="20"/>
          <w:szCs w:val="20"/>
        </w:rPr>
      </w:pPr>
      <w:r w:rsidRPr="004E4AA7">
        <w:rPr>
          <w:sz w:val="20"/>
          <w:szCs w:val="20"/>
        </w:rPr>
        <w:t xml:space="preserve">W ramach wskazanych w punkcie wcześniejszym portali dedykowanych poszczególnym grupom użytkowników udostępnione zostały funkcjonalności biznesowe agregowane do następujących komponentów logicznych (określonych na podstawie zdefiniowanych wymagań funkcjonalnych) podzielonych na trzy podstawowe obszary: </w:t>
      </w:r>
    </w:p>
    <w:p w14:paraId="7ED84309" w14:textId="77777777" w:rsidR="00662E2D" w:rsidRPr="004E4AA7" w:rsidRDefault="00662E2D">
      <w:pPr>
        <w:pStyle w:val="Lista3"/>
        <w:numPr>
          <w:ilvl w:val="0"/>
          <w:numId w:val="65"/>
        </w:numPr>
        <w:spacing w:before="120" w:after="120"/>
        <w:jc w:val="both"/>
        <w:rPr>
          <w:sz w:val="20"/>
          <w:szCs w:val="20"/>
        </w:rPr>
      </w:pPr>
      <w:r w:rsidRPr="004E4AA7">
        <w:rPr>
          <w:b/>
          <w:sz w:val="20"/>
          <w:szCs w:val="20"/>
        </w:rPr>
        <w:t>Obszar biznesowy</w:t>
      </w:r>
    </w:p>
    <w:p w14:paraId="4990AAED" w14:textId="77777777" w:rsidR="00662E2D" w:rsidRPr="004E4AA7" w:rsidRDefault="00662E2D">
      <w:pPr>
        <w:pStyle w:val="Lista3"/>
        <w:numPr>
          <w:ilvl w:val="0"/>
          <w:numId w:val="66"/>
        </w:numPr>
        <w:spacing w:before="120" w:after="120"/>
        <w:jc w:val="both"/>
        <w:rPr>
          <w:b/>
          <w:sz w:val="20"/>
          <w:szCs w:val="20"/>
        </w:rPr>
      </w:pPr>
      <w:r w:rsidRPr="004E4AA7">
        <w:rPr>
          <w:b/>
          <w:sz w:val="20"/>
          <w:szCs w:val="20"/>
        </w:rPr>
        <w:t xml:space="preserve">Zadłużeni </w:t>
      </w:r>
      <w:r w:rsidRPr="004E4AA7">
        <w:rPr>
          <w:sz w:val="20"/>
          <w:szCs w:val="20"/>
        </w:rPr>
        <w:t>– komponent odpowiedzialny za przechowywanie i udostępnianie danych dotyczących dłużników uczestniczących w postepowaniach upadłościowych i restrukturyzacyjnych.</w:t>
      </w:r>
      <w:r w:rsidRPr="004E4AA7">
        <w:rPr>
          <w:b/>
          <w:sz w:val="20"/>
          <w:szCs w:val="20"/>
        </w:rPr>
        <w:t xml:space="preserve"> </w:t>
      </w:r>
    </w:p>
    <w:p w14:paraId="4DFA2D46" w14:textId="77777777" w:rsidR="00662E2D" w:rsidRPr="004E4AA7" w:rsidRDefault="00662E2D">
      <w:pPr>
        <w:pStyle w:val="Lista3"/>
        <w:numPr>
          <w:ilvl w:val="0"/>
          <w:numId w:val="66"/>
        </w:numPr>
        <w:spacing w:before="120" w:after="120"/>
        <w:jc w:val="both"/>
        <w:rPr>
          <w:b/>
          <w:sz w:val="20"/>
          <w:szCs w:val="20"/>
        </w:rPr>
      </w:pPr>
      <w:r w:rsidRPr="004E4AA7">
        <w:rPr>
          <w:b/>
          <w:sz w:val="20"/>
          <w:szCs w:val="20"/>
        </w:rPr>
        <w:t>Postępowania restrukturyzacyjne i upadłościowe</w:t>
      </w:r>
      <w:r w:rsidRPr="004E4AA7" w:rsidDel="000465FE">
        <w:rPr>
          <w:b/>
          <w:sz w:val="20"/>
          <w:szCs w:val="20"/>
        </w:rPr>
        <w:t xml:space="preserve"> </w:t>
      </w:r>
      <w:r w:rsidRPr="004E4AA7">
        <w:rPr>
          <w:sz w:val="20"/>
          <w:szCs w:val="20"/>
        </w:rPr>
        <w:t>– komponent w ramach którego definiowane są procesy obsługowe zdefiniowanie w ramach postępowań restrukturyzacyjnych/upadłościowych. Z poziomu tego komponentu za pośrednictwem infrastruktury technicznej (szyna ESB) odbywa się integracja procesu z poszczególnymi komponentami rozwiązania KRZ, systemami Ministerstwa Sprawiedliwości, jak również systemami zewnętrznymi. Komponent odpowiedzialny za przechowywanie i udostępnianie danych dotyczących toczących się postępowań upadłościowych i restrukturyzacyjnych.</w:t>
      </w:r>
    </w:p>
    <w:p w14:paraId="11A7B4D8" w14:textId="77777777" w:rsidR="00662E2D" w:rsidRPr="004E4AA7" w:rsidRDefault="00662E2D">
      <w:pPr>
        <w:pStyle w:val="Lista3"/>
        <w:numPr>
          <w:ilvl w:val="0"/>
          <w:numId w:val="66"/>
        </w:numPr>
        <w:spacing w:before="120" w:after="120"/>
        <w:jc w:val="both"/>
        <w:rPr>
          <w:b/>
          <w:sz w:val="20"/>
          <w:szCs w:val="20"/>
        </w:rPr>
      </w:pPr>
      <w:r w:rsidRPr="004E4AA7">
        <w:rPr>
          <w:b/>
          <w:sz w:val="20"/>
          <w:szCs w:val="20"/>
        </w:rPr>
        <w:t xml:space="preserve">Likwidowane składniki </w:t>
      </w:r>
      <w:r w:rsidRPr="004E4AA7">
        <w:rPr>
          <w:sz w:val="20"/>
          <w:szCs w:val="20"/>
        </w:rPr>
        <w:t>– komponent odpowiedzialny za przechowywanie i udostępnianie danych dotyczących likwidowanych składników majątku dłużników.</w:t>
      </w:r>
    </w:p>
    <w:p w14:paraId="69D170D9" w14:textId="77777777" w:rsidR="00662E2D" w:rsidRPr="004E4AA7" w:rsidRDefault="00662E2D">
      <w:pPr>
        <w:pStyle w:val="Lista3"/>
        <w:numPr>
          <w:ilvl w:val="0"/>
          <w:numId w:val="66"/>
        </w:numPr>
        <w:spacing w:before="120" w:after="120"/>
        <w:jc w:val="both"/>
        <w:rPr>
          <w:b/>
          <w:sz w:val="20"/>
          <w:szCs w:val="20"/>
        </w:rPr>
      </w:pPr>
      <w:r w:rsidRPr="004E4AA7">
        <w:rPr>
          <w:b/>
          <w:sz w:val="20"/>
          <w:szCs w:val="20"/>
        </w:rPr>
        <w:t xml:space="preserve">Sądy restrukturyzacyjne i upadłościowe </w:t>
      </w:r>
      <w:r w:rsidRPr="004E4AA7">
        <w:rPr>
          <w:sz w:val="20"/>
          <w:szCs w:val="20"/>
        </w:rPr>
        <w:t>– komponent odpowiedzialny za przechowywanie i udostępnianie danych na temat sądów restrukturyzacyjnych i upadłościowych. Dodatkowo w ramach rejestru pozwala na definiowanie sędziów działających w poszczególnych sądach.</w:t>
      </w:r>
    </w:p>
    <w:p w14:paraId="22E31F62" w14:textId="77777777" w:rsidR="00662E2D" w:rsidRPr="004E4AA7" w:rsidRDefault="00662E2D">
      <w:pPr>
        <w:pStyle w:val="Lista3"/>
        <w:numPr>
          <w:ilvl w:val="0"/>
          <w:numId w:val="66"/>
        </w:numPr>
        <w:spacing w:before="120" w:after="120"/>
        <w:jc w:val="both"/>
        <w:rPr>
          <w:sz w:val="20"/>
          <w:szCs w:val="20"/>
        </w:rPr>
      </w:pPr>
      <w:r w:rsidRPr="004E4AA7">
        <w:rPr>
          <w:b/>
          <w:sz w:val="20"/>
          <w:szCs w:val="20"/>
        </w:rPr>
        <w:t xml:space="preserve">Wierzyciele </w:t>
      </w:r>
      <w:r w:rsidRPr="004E4AA7">
        <w:rPr>
          <w:sz w:val="20"/>
          <w:szCs w:val="20"/>
        </w:rPr>
        <w:t>– komponent odpowiedzialny za przechowywanie i udostępnianie danych dotyczących wierzycieli i wierzytelności. Dodatkowo w ramach tego komponentu udostępniono funkcjonalności wspierające definiowanie i zarządzanie posiedzeniami wierzycieli.</w:t>
      </w:r>
    </w:p>
    <w:p w14:paraId="7E37B150" w14:textId="77777777" w:rsidR="00662E2D" w:rsidRPr="004E4AA7" w:rsidRDefault="00662E2D">
      <w:pPr>
        <w:pStyle w:val="Lista3"/>
        <w:numPr>
          <w:ilvl w:val="0"/>
          <w:numId w:val="66"/>
        </w:numPr>
        <w:spacing w:before="120" w:after="120"/>
        <w:jc w:val="both"/>
        <w:rPr>
          <w:b/>
          <w:sz w:val="20"/>
          <w:szCs w:val="20"/>
        </w:rPr>
      </w:pPr>
      <w:r w:rsidRPr="004E4AA7">
        <w:rPr>
          <w:b/>
          <w:sz w:val="20"/>
          <w:szCs w:val="20"/>
        </w:rPr>
        <w:t xml:space="preserve">Elektroniczne akta postępowań upadłościowych i restrukturyzacyjnych </w:t>
      </w:r>
      <w:r w:rsidRPr="004E4AA7">
        <w:rPr>
          <w:sz w:val="20"/>
          <w:szCs w:val="20"/>
        </w:rPr>
        <w:t xml:space="preserve">– komponent odpowiedzialny za przechowywanie i udostępnianie dokumentów elektronicznych zgromadzonych w toku </w:t>
      </w:r>
      <w:hyperlink r:id="rId23" w:history="1">
        <w:r w:rsidRPr="004E4AA7">
          <w:rPr>
            <w:sz w:val="20"/>
            <w:szCs w:val="20"/>
          </w:rPr>
          <w:t>p</w:t>
        </w:r>
      </w:hyperlink>
      <w:r w:rsidRPr="004E4AA7">
        <w:rPr>
          <w:sz w:val="20"/>
          <w:szCs w:val="20"/>
        </w:rPr>
        <w:t>ostępowań upadłościowych i restrukturyzacyjnych.</w:t>
      </w:r>
    </w:p>
    <w:p w14:paraId="399A4B8A" w14:textId="3BB54949" w:rsidR="00662E2D" w:rsidRPr="004E4AA7" w:rsidRDefault="00662E2D">
      <w:pPr>
        <w:pStyle w:val="Lista3"/>
        <w:numPr>
          <w:ilvl w:val="0"/>
          <w:numId w:val="66"/>
        </w:numPr>
        <w:spacing w:before="120" w:after="120"/>
        <w:jc w:val="both"/>
        <w:rPr>
          <w:b/>
          <w:sz w:val="20"/>
          <w:szCs w:val="20"/>
        </w:rPr>
      </w:pPr>
      <w:r w:rsidRPr="004E4AA7">
        <w:rPr>
          <w:b/>
          <w:sz w:val="20"/>
          <w:szCs w:val="20"/>
        </w:rPr>
        <w:t xml:space="preserve">Profesje prawnicze </w:t>
      </w:r>
      <w:r w:rsidRPr="004E4AA7">
        <w:rPr>
          <w:sz w:val="20"/>
          <w:szCs w:val="20"/>
        </w:rPr>
        <w:t>– komponent powołany na potrzeby postępowań upadłościowych i restrukturyzacyjnych zawierający aktualny wykaz: radców prawnych, adwokatów, doradców restrukturyzacyjnych, komorników.</w:t>
      </w:r>
    </w:p>
    <w:p w14:paraId="34C95B59" w14:textId="77777777" w:rsidR="008024E6" w:rsidRPr="004E4AA7" w:rsidRDefault="008024E6" w:rsidP="008024E6">
      <w:pPr>
        <w:pStyle w:val="Lista3"/>
        <w:spacing w:before="120" w:after="120"/>
        <w:ind w:left="1145" w:firstLine="0"/>
        <w:jc w:val="both"/>
        <w:rPr>
          <w:b/>
          <w:sz w:val="20"/>
          <w:szCs w:val="20"/>
        </w:rPr>
      </w:pPr>
    </w:p>
    <w:p w14:paraId="6F50C22D" w14:textId="4DF6DB76" w:rsidR="00662E2D" w:rsidRPr="004E4AA7" w:rsidRDefault="00662E2D">
      <w:pPr>
        <w:pStyle w:val="Lista3"/>
        <w:numPr>
          <w:ilvl w:val="0"/>
          <w:numId w:val="65"/>
        </w:numPr>
        <w:spacing w:before="120" w:after="120"/>
        <w:jc w:val="both"/>
        <w:rPr>
          <w:b/>
          <w:sz w:val="20"/>
          <w:szCs w:val="20"/>
        </w:rPr>
      </w:pPr>
      <w:r w:rsidRPr="004E4AA7">
        <w:rPr>
          <w:b/>
          <w:sz w:val="20"/>
          <w:szCs w:val="20"/>
        </w:rPr>
        <w:t>Obszar funkcji podstawowych</w:t>
      </w:r>
    </w:p>
    <w:p w14:paraId="08361869" w14:textId="77777777" w:rsidR="00662E2D" w:rsidRPr="004E4AA7" w:rsidRDefault="00662E2D">
      <w:pPr>
        <w:pStyle w:val="Lista3"/>
        <w:numPr>
          <w:ilvl w:val="0"/>
          <w:numId w:val="67"/>
        </w:numPr>
        <w:spacing w:before="120" w:after="120"/>
        <w:jc w:val="both"/>
        <w:rPr>
          <w:b/>
          <w:sz w:val="20"/>
          <w:szCs w:val="20"/>
        </w:rPr>
      </w:pPr>
      <w:r w:rsidRPr="004E4AA7">
        <w:rPr>
          <w:b/>
          <w:sz w:val="20"/>
          <w:szCs w:val="20"/>
        </w:rPr>
        <w:t xml:space="preserve">Obwieszczenia/ogłoszenia sądów restrukturyzacyjnych i upadłościowych </w:t>
      </w:r>
      <w:r w:rsidRPr="004E4AA7">
        <w:rPr>
          <w:sz w:val="20"/>
          <w:szCs w:val="20"/>
        </w:rPr>
        <w:t xml:space="preserve">– komponent odpowiedzialny za przechowywanie i udostępnianie danych dotyczących obwieszczeń/ogłoszeń </w:t>
      </w:r>
      <w:r w:rsidRPr="004E4AA7">
        <w:rPr>
          <w:sz w:val="20"/>
          <w:szCs w:val="20"/>
        </w:rPr>
        <w:lastRenderedPageBreak/>
        <w:t>restrukturyzacyjnych i upadłościowych. Dodatkowo za pośrednictwem tego komponentu odbywa się komunikacja z systemami odpowiedzialnymi za publikację danych (obwieszczeń/ogłoszeń).</w:t>
      </w:r>
    </w:p>
    <w:p w14:paraId="1E532287" w14:textId="77777777" w:rsidR="00662E2D" w:rsidRPr="004E4AA7" w:rsidRDefault="00662E2D">
      <w:pPr>
        <w:pStyle w:val="Lista3"/>
        <w:numPr>
          <w:ilvl w:val="0"/>
          <w:numId w:val="67"/>
        </w:numPr>
        <w:spacing w:before="120" w:after="120"/>
        <w:jc w:val="both"/>
        <w:rPr>
          <w:b/>
          <w:sz w:val="20"/>
          <w:szCs w:val="20"/>
        </w:rPr>
      </w:pPr>
      <w:r w:rsidRPr="004E4AA7">
        <w:rPr>
          <w:b/>
          <w:sz w:val="20"/>
          <w:szCs w:val="20"/>
        </w:rPr>
        <w:t xml:space="preserve">Wzorce dokumentów </w:t>
      </w:r>
      <w:r w:rsidRPr="004E4AA7">
        <w:rPr>
          <w:sz w:val="20"/>
          <w:szCs w:val="20"/>
        </w:rPr>
        <w:t>– komponent zarządzający wzorami dokumentów w zakresie ich definiowania, wersjonowania i udostępniania w ramach procesów wspieranych w ramach KRZ.</w:t>
      </w:r>
    </w:p>
    <w:p w14:paraId="7660593A" w14:textId="77777777" w:rsidR="00662E2D" w:rsidRPr="004E4AA7" w:rsidRDefault="00662E2D">
      <w:pPr>
        <w:pStyle w:val="Lista3"/>
        <w:numPr>
          <w:ilvl w:val="0"/>
          <w:numId w:val="67"/>
        </w:numPr>
        <w:spacing w:before="120" w:after="120"/>
        <w:jc w:val="both"/>
        <w:rPr>
          <w:sz w:val="20"/>
          <w:szCs w:val="20"/>
        </w:rPr>
      </w:pPr>
      <w:r w:rsidRPr="004E4AA7">
        <w:rPr>
          <w:b/>
          <w:sz w:val="20"/>
          <w:szCs w:val="20"/>
        </w:rPr>
        <w:t xml:space="preserve">Decyzje </w:t>
      </w:r>
      <w:r w:rsidRPr="004E4AA7">
        <w:rPr>
          <w:sz w:val="20"/>
          <w:szCs w:val="20"/>
        </w:rPr>
        <w:t>– komponent odpowiedzialny za przechowywanie i wsparcie procesów związanych z obsługą decyzji. W ramach niniejszego komponentu znajdują się funkcjonalności odpowiedzialne za wsparcie projektowania decyzji oraz wydanie decyzji odpowiednio w Portalu Branżowym i Sądowym.</w:t>
      </w:r>
    </w:p>
    <w:p w14:paraId="694BEB25" w14:textId="77777777" w:rsidR="00662E2D" w:rsidRPr="004E4AA7" w:rsidRDefault="00662E2D">
      <w:pPr>
        <w:pStyle w:val="Lista3"/>
        <w:numPr>
          <w:ilvl w:val="0"/>
          <w:numId w:val="67"/>
        </w:numPr>
        <w:spacing w:before="120" w:after="120"/>
        <w:jc w:val="both"/>
        <w:rPr>
          <w:b/>
          <w:sz w:val="20"/>
          <w:szCs w:val="20"/>
        </w:rPr>
      </w:pPr>
      <w:r w:rsidRPr="004E4AA7">
        <w:rPr>
          <w:b/>
          <w:sz w:val="20"/>
          <w:szCs w:val="20"/>
        </w:rPr>
        <w:t xml:space="preserve">Korespondencja </w:t>
      </w:r>
      <w:r w:rsidRPr="004E4AA7">
        <w:rPr>
          <w:sz w:val="20"/>
          <w:szCs w:val="20"/>
        </w:rPr>
        <w:t xml:space="preserve">– komponent odpowiedzialny za przygotowanie pakietu informacji, który następnie dostarczany jest do adresata. Głównym zakresem funkcjonalnym niniejszego komponentu jest wsparcie procesów związanych z doręczeniem i przyjmowaniem korespondencji elektronicznej towarzyszącej procesom obsługi postępowań restrukturyzacyjnych i upadłościowych w tym potwierdzenia odbioru korespondencji. </w:t>
      </w:r>
    </w:p>
    <w:p w14:paraId="2088EBFF" w14:textId="2BC23967" w:rsidR="00662E2D" w:rsidRPr="004E4AA7" w:rsidRDefault="00662E2D">
      <w:pPr>
        <w:pStyle w:val="Lista3"/>
        <w:numPr>
          <w:ilvl w:val="0"/>
          <w:numId w:val="67"/>
        </w:numPr>
        <w:spacing w:before="120" w:after="120"/>
        <w:jc w:val="both"/>
        <w:rPr>
          <w:b/>
          <w:sz w:val="20"/>
          <w:szCs w:val="20"/>
        </w:rPr>
      </w:pPr>
      <w:r w:rsidRPr="004E4AA7">
        <w:rPr>
          <w:b/>
          <w:sz w:val="20"/>
          <w:szCs w:val="20"/>
        </w:rPr>
        <w:t xml:space="preserve">Administracja </w:t>
      </w:r>
      <w:r w:rsidRPr="004E4AA7">
        <w:rPr>
          <w:sz w:val="20"/>
          <w:szCs w:val="20"/>
        </w:rPr>
        <w:t>– komponent mający na celu umożliwienie zarządzanie danymi słownikowymi w tym definiowanie i modyfikowanie formularzy. Dodatkowo komponent ten odpowiedzialny jest za wsparcie procesów autoryzacji i uwierzytelniania (w tym integracja z rozwiązaniem AD i komponentem Tożsamość).</w:t>
      </w:r>
    </w:p>
    <w:p w14:paraId="5520F69D" w14:textId="77777777" w:rsidR="008024E6" w:rsidRPr="004E4AA7" w:rsidRDefault="008024E6" w:rsidP="008024E6">
      <w:pPr>
        <w:pStyle w:val="Lista3"/>
        <w:spacing w:before="120" w:after="120"/>
        <w:ind w:left="1145" w:firstLine="0"/>
        <w:jc w:val="both"/>
        <w:rPr>
          <w:b/>
          <w:sz w:val="20"/>
          <w:szCs w:val="20"/>
        </w:rPr>
      </w:pPr>
    </w:p>
    <w:p w14:paraId="3FD24B49" w14:textId="30C3DB67" w:rsidR="00662E2D" w:rsidRPr="004E4AA7" w:rsidRDefault="00662E2D">
      <w:pPr>
        <w:pStyle w:val="Nagwek8"/>
        <w:numPr>
          <w:ilvl w:val="0"/>
          <w:numId w:val="65"/>
        </w:numPr>
        <w:jc w:val="left"/>
        <w:rPr>
          <w:rFonts w:ascii="Times New Roman" w:hAnsi="Times New Roman" w:cs="Times New Roman"/>
          <w:b/>
          <w:sz w:val="20"/>
          <w:szCs w:val="20"/>
        </w:rPr>
      </w:pPr>
      <w:r w:rsidRPr="004E4AA7">
        <w:rPr>
          <w:rFonts w:ascii="Times New Roman" w:hAnsi="Times New Roman" w:cs="Times New Roman"/>
          <w:b/>
          <w:sz w:val="20"/>
          <w:szCs w:val="20"/>
        </w:rPr>
        <w:t>Obszar raportów</w:t>
      </w:r>
    </w:p>
    <w:p w14:paraId="019F0B76" w14:textId="77777777" w:rsidR="00662E2D" w:rsidRPr="004E4AA7" w:rsidRDefault="00662E2D">
      <w:pPr>
        <w:pStyle w:val="Lista3"/>
        <w:numPr>
          <w:ilvl w:val="0"/>
          <w:numId w:val="68"/>
        </w:numPr>
        <w:spacing w:before="120" w:after="120"/>
        <w:jc w:val="both"/>
        <w:rPr>
          <w:b/>
          <w:sz w:val="20"/>
          <w:szCs w:val="20"/>
        </w:rPr>
      </w:pPr>
      <w:r w:rsidRPr="004E4AA7">
        <w:rPr>
          <w:b/>
          <w:sz w:val="20"/>
          <w:szCs w:val="20"/>
        </w:rPr>
        <w:t xml:space="preserve">Raporty statystyczne </w:t>
      </w:r>
      <w:r w:rsidRPr="004E4AA7">
        <w:rPr>
          <w:sz w:val="20"/>
          <w:szCs w:val="20"/>
        </w:rPr>
        <w:t>– komponent udostępniający raporty informujące o statystyce pracy wydziału.</w:t>
      </w:r>
    </w:p>
    <w:p w14:paraId="4D875C79" w14:textId="77777777" w:rsidR="00662E2D" w:rsidRPr="004E4AA7" w:rsidRDefault="00662E2D">
      <w:pPr>
        <w:pStyle w:val="Lista3"/>
        <w:numPr>
          <w:ilvl w:val="0"/>
          <w:numId w:val="68"/>
        </w:numPr>
        <w:spacing w:before="120" w:after="120"/>
        <w:jc w:val="both"/>
        <w:rPr>
          <w:b/>
          <w:sz w:val="20"/>
          <w:szCs w:val="20"/>
        </w:rPr>
      </w:pPr>
      <w:r w:rsidRPr="004E4AA7">
        <w:rPr>
          <w:b/>
          <w:sz w:val="20"/>
          <w:szCs w:val="20"/>
        </w:rPr>
        <w:t xml:space="preserve">Sprawozdania okresowe </w:t>
      </w:r>
      <w:r w:rsidRPr="004E4AA7">
        <w:rPr>
          <w:sz w:val="20"/>
          <w:szCs w:val="20"/>
        </w:rPr>
        <w:t>– komponent wspierający przygotowanie sprawozdań okresowych oraz końcowych</w:t>
      </w:r>
      <w:r w:rsidRPr="004E4AA7">
        <w:rPr>
          <w:b/>
          <w:sz w:val="20"/>
          <w:szCs w:val="20"/>
        </w:rPr>
        <w:t>.</w:t>
      </w:r>
    </w:p>
    <w:p w14:paraId="5CF3670C" w14:textId="77777777" w:rsidR="00662E2D" w:rsidRPr="004E4AA7" w:rsidRDefault="00662E2D" w:rsidP="000D3B07">
      <w:pPr>
        <w:pStyle w:val="Tekstpodstawowyzwciciem2"/>
        <w:spacing w:before="120" w:after="120"/>
        <w:ind w:left="425" w:firstLine="0"/>
        <w:jc w:val="both"/>
        <w:rPr>
          <w:sz w:val="20"/>
          <w:szCs w:val="20"/>
        </w:rPr>
      </w:pPr>
    </w:p>
    <w:p w14:paraId="00C51B8B" w14:textId="68F5E957" w:rsidR="00662E2D" w:rsidRDefault="00662E2D" w:rsidP="000D3B07">
      <w:pPr>
        <w:pStyle w:val="Tekstpodstawowyzwciciem2"/>
        <w:spacing w:before="120" w:after="120"/>
        <w:ind w:left="425" w:firstLine="0"/>
        <w:jc w:val="both"/>
        <w:rPr>
          <w:noProof/>
          <w:sz w:val="20"/>
          <w:szCs w:val="20"/>
        </w:rPr>
      </w:pPr>
      <w:r w:rsidRPr="004E4AA7">
        <w:rPr>
          <w:sz w:val="20"/>
          <w:szCs w:val="20"/>
        </w:rPr>
        <w:t xml:space="preserve">Poniższy diagram prezentuje komponenty logiczne wyszczególnione w ramach systemu KRZ. </w:t>
      </w:r>
      <w:r w:rsidRPr="004E4AA7">
        <w:rPr>
          <w:noProof/>
          <w:sz w:val="20"/>
          <w:szCs w:val="20"/>
        </w:rPr>
        <w:t xml:space="preserve"> </w:t>
      </w:r>
    </w:p>
    <w:p w14:paraId="3D059B67" w14:textId="59743612" w:rsidR="00012D2E" w:rsidRDefault="00012D2E" w:rsidP="000D3B07">
      <w:pPr>
        <w:pStyle w:val="Tekstpodstawowyzwciciem2"/>
        <w:spacing w:before="120" w:after="120"/>
        <w:ind w:left="425" w:firstLine="0"/>
        <w:jc w:val="both"/>
        <w:rPr>
          <w:noProof/>
          <w:sz w:val="20"/>
          <w:szCs w:val="20"/>
        </w:rPr>
      </w:pPr>
      <w:r w:rsidRPr="004C6298">
        <w:rPr>
          <w:rFonts w:cs="Arial"/>
          <w:noProof/>
        </w:rPr>
        <w:lastRenderedPageBreak/>
        <w:drawing>
          <wp:inline distT="0" distB="0" distL="0" distR="0" wp14:anchorId="5A4B2FEC" wp14:editId="16CBFC57">
            <wp:extent cx="5760720" cy="57943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5794375"/>
                    </a:xfrm>
                    <a:prstGeom prst="rect">
                      <a:avLst/>
                    </a:prstGeom>
                    <a:noFill/>
                    <a:ln>
                      <a:noFill/>
                    </a:ln>
                  </pic:spPr>
                </pic:pic>
              </a:graphicData>
            </a:graphic>
          </wp:inline>
        </w:drawing>
      </w:r>
    </w:p>
    <w:p w14:paraId="24BE515B" w14:textId="2A9C4EA1" w:rsidR="00662E2D" w:rsidRDefault="00662E2D" w:rsidP="000D3B07">
      <w:pPr>
        <w:pStyle w:val="Legenda"/>
        <w:spacing w:before="120" w:after="120"/>
        <w:jc w:val="center"/>
        <w:rPr>
          <w:rFonts w:ascii="Times New Roman" w:hAnsi="Times New Roman"/>
          <w:sz w:val="16"/>
          <w:szCs w:val="16"/>
        </w:rPr>
      </w:pPr>
      <w:r w:rsidRPr="004E4AA7">
        <w:rPr>
          <w:rFonts w:ascii="Times New Roman" w:hAnsi="Times New Roman"/>
          <w:sz w:val="16"/>
          <w:szCs w:val="16"/>
        </w:rPr>
        <w:t xml:space="preserve">Rysunek </w:t>
      </w:r>
      <w:r w:rsidR="008024E6" w:rsidRPr="004E4AA7">
        <w:rPr>
          <w:rFonts w:ascii="Times New Roman" w:hAnsi="Times New Roman"/>
          <w:sz w:val="16"/>
          <w:szCs w:val="16"/>
        </w:rPr>
        <w:t>3</w:t>
      </w:r>
      <w:r w:rsidRPr="004E4AA7">
        <w:rPr>
          <w:rFonts w:ascii="Times New Roman" w:hAnsi="Times New Roman"/>
          <w:sz w:val="16"/>
          <w:szCs w:val="16"/>
        </w:rPr>
        <w:t xml:space="preserve"> Komponenty logiczne systemu KRZ</w:t>
      </w:r>
    </w:p>
    <w:p w14:paraId="498132BB" w14:textId="77777777" w:rsidR="00012D2E" w:rsidRPr="00012D2E" w:rsidRDefault="00012D2E" w:rsidP="00012D2E">
      <w:pPr>
        <w:rPr>
          <w:lang w:eastAsia="ar-SA"/>
        </w:rPr>
      </w:pPr>
    </w:p>
    <w:p w14:paraId="3443C9D5" w14:textId="7F4414B6" w:rsidR="00662E2D" w:rsidRPr="00D60E51" w:rsidRDefault="00D60E51" w:rsidP="00D60E51">
      <w:pPr>
        <w:pStyle w:val="Nagwek3"/>
        <w:rPr>
          <w:b/>
          <w:bCs/>
          <w:i w:val="0"/>
          <w:iCs w:val="0"/>
          <w:sz w:val="22"/>
          <w:szCs w:val="22"/>
        </w:rPr>
      </w:pPr>
      <w:bookmarkStart w:id="65" w:name="_Toc523217114"/>
      <w:bookmarkStart w:id="66" w:name="_Ref524330877"/>
      <w:bookmarkStart w:id="67" w:name="_Toc14877582"/>
      <w:bookmarkStart w:id="68" w:name="_Toc134561914"/>
      <w:bookmarkStart w:id="69" w:name="_Toc134563678"/>
      <w:r>
        <w:rPr>
          <w:b/>
          <w:bCs/>
          <w:i w:val="0"/>
          <w:iCs w:val="0"/>
          <w:sz w:val="22"/>
          <w:szCs w:val="22"/>
        </w:rPr>
        <w:t xml:space="preserve">6.4  </w:t>
      </w:r>
      <w:r w:rsidR="00662E2D" w:rsidRPr="00D60E51">
        <w:rPr>
          <w:b/>
          <w:bCs/>
          <w:i w:val="0"/>
          <w:iCs w:val="0"/>
          <w:sz w:val="22"/>
          <w:szCs w:val="22"/>
        </w:rPr>
        <w:t>Komponenty MS dostarczające usługi istotne dla systemu KRZ</w:t>
      </w:r>
      <w:bookmarkEnd w:id="65"/>
      <w:bookmarkEnd w:id="66"/>
      <w:bookmarkEnd w:id="67"/>
      <w:bookmarkEnd w:id="68"/>
      <w:bookmarkEnd w:id="69"/>
    </w:p>
    <w:p w14:paraId="27A2B115" w14:textId="77777777" w:rsidR="00662E2D" w:rsidRPr="004E4AA7" w:rsidRDefault="00662E2D">
      <w:pPr>
        <w:pStyle w:val="Lista3"/>
        <w:numPr>
          <w:ilvl w:val="0"/>
          <w:numId w:val="69"/>
        </w:numPr>
        <w:spacing w:before="120" w:after="120"/>
        <w:jc w:val="both"/>
        <w:rPr>
          <w:sz w:val="20"/>
          <w:szCs w:val="20"/>
        </w:rPr>
      </w:pPr>
      <w:r w:rsidRPr="004E4AA7">
        <w:rPr>
          <w:sz w:val="20"/>
          <w:szCs w:val="20"/>
        </w:rPr>
        <w:t xml:space="preserve">EX – Exchange w usługami LISTA_ZADAŃ i KALENDARZ. System KRZ wymagać będzie synchronizację terminarzy z kalendarzem sędziów oraz listą zadań do nich przypisanych. </w:t>
      </w:r>
    </w:p>
    <w:p w14:paraId="27703368" w14:textId="77777777" w:rsidR="00662E2D" w:rsidRPr="004E4AA7" w:rsidRDefault="00662E2D">
      <w:pPr>
        <w:pStyle w:val="Lista3"/>
        <w:numPr>
          <w:ilvl w:val="0"/>
          <w:numId w:val="69"/>
        </w:numPr>
        <w:spacing w:before="120" w:after="120"/>
        <w:jc w:val="both"/>
        <w:rPr>
          <w:sz w:val="20"/>
          <w:szCs w:val="20"/>
        </w:rPr>
      </w:pPr>
      <w:r w:rsidRPr="004E4AA7">
        <w:rPr>
          <w:sz w:val="20"/>
          <w:szCs w:val="20"/>
        </w:rPr>
        <w:t>KRS – Krajowy Rejestr Sądowy. System udostępniający informację na temat podmiotów uczestniczących w obrocie gospodarczym.</w:t>
      </w:r>
    </w:p>
    <w:p w14:paraId="1670E487" w14:textId="77777777" w:rsidR="00662E2D" w:rsidRPr="004E4AA7" w:rsidRDefault="00662E2D">
      <w:pPr>
        <w:pStyle w:val="Lista3"/>
        <w:numPr>
          <w:ilvl w:val="0"/>
          <w:numId w:val="69"/>
        </w:numPr>
        <w:spacing w:before="120" w:after="120"/>
        <w:ind w:left="714" w:hanging="357"/>
        <w:jc w:val="both"/>
        <w:rPr>
          <w:sz w:val="20"/>
          <w:szCs w:val="20"/>
        </w:rPr>
      </w:pPr>
      <w:r w:rsidRPr="004E4AA7">
        <w:rPr>
          <w:sz w:val="20"/>
          <w:szCs w:val="20"/>
          <w:lang w:val="en-US"/>
        </w:rPr>
        <w:t xml:space="preserve">AD – Domena Active Directory MS. </w:t>
      </w:r>
      <w:r w:rsidRPr="004E4AA7">
        <w:rPr>
          <w:sz w:val="20"/>
          <w:szCs w:val="20"/>
        </w:rPr>
        <w:t>System wykorzystywany w ramach procesu autoryzacji i SSO.</w:t>
      </w:r>
    </w:p>
    <w:p w14:paraId="03FBD2AB" w14:textId="77777777" w:rsidR="00662E2D" w:rsidRPr="004E4AA7" w:rsidRDefault="00662E2D">
      <w:pPr>
        <w:pStyle w:val="Lista3"/>
        <w:numPr>
          <w:ilvl w:val="0"/>
          <w:numId w:val="69"/>
        </w:numPr>
        <w:spacing w:before="120" w:after="120"/>
        <w:jc w:val="both"/>
        <w:rPr>
          <w:sz w:val="20"/>
          <w:szCs w:val="20"/>
        </w:rPr>
      </w:pPr>
      <w:r w:rsidRPr="004E4AA7">
        <w:rPr>
          <w:sz w:val="20"/>
          <w:szCs w:val="20"/>
        </w:rPr>
        <w:t>CRD – Centralne Repozytorium Dokumentów. System przechowujący</w:t>
      </w:r>
      <w:r w:rsidRPr="004E4AA7">
        <w:rPr>
          <w:strike/>
          <w:color w:val="FF0000"/>
          <w:sz w:val="20"/>
          <w:szCs w:val="20"/>
        </w:rPr>
        <w:t xml:space="preserve"> </w:t>
      </w:r>
      <w:r w:rsidRPr="004E4AA7">
        <w:rPr>
          <w:sz w:val="20"/>
          <w:szCs w:val="20"/>
        </w:rPr>
        <w:t>wersje elektroniczne dokumentów (m.in. skany)</w:t>
      </w:r>
    </w:p>
    <w:p w14:paraId="6ECDAE1E" w14:textId="77777777" w:rsidR="00662E2D" w:rsidRPr="004E4AA7" w:rsidRDefault="00662E2D">
      <w:pPr>
        <w:pStyle w:val="Lista3"/>
        <w:numPr>
          <w:ilvl w:val="0"/>
          <w:numId w:val="69"/>
        </w:numPr>
        <w:spacing w:before="120" w:after="120"/>
        <w:jc w:val="both"/>
        <w:rPr>
          <w:sz w:val="20"/>
          <w:szCs w:val="20"/>
        </w:rPr>
      </w:pPr>
      <w:r w:rsidRPr="004E4AA7">
        <w:rPr>
          <w:sz w:val="20"/>
          <w:szCs w:val="20"/>
        </w:rPr>
        <w:t>SLPS – System Losowego Przydziału Spraw.</w:t>
      </w:r>
    </w:p>
    <w:p w14:paraId="639D9BBC" w14:textId="77777777" w:rsidR="00662E2D" w:rsidRPr="004E4AA7" w:rsidRDefault="00662E2D">
      <w:pPr>
        <w:pStyle w:val="Lista3"/>
        <w:numPr>
          <w:ilvl w:val="0"/>
          <w:numId w:val="69"/>
        </w:numPr>
        <w:spacing w:before="120" w:after="120"/>
        <w:jc w:val="both"/>
        <w:rPr>
          <w:sz w:val="20"/>
          <w:szCs w:val="20"/>
        </w:rPr>
      </w:pPr>
      <w:r w:rsidRPr="004E4AA7">
        <w:rPr>
          <w:sz w:val="20"/>
          <w:szCs w:val="20"/>
        </w:rPr>
        <w:t>ePłatności - komponent wspierający wykonywanie płatności elektronicznych wpłat.</w:t>
      </w:r>
    </w:p>
    <w:p w14:paraId="306C7402" w14:textId="77777777" w:rsidR="00662E2D" w:rsidRPr="004E4AA7" w:rsidRDefault="00662E2D">
      <w:pPr>
        <w:pStyle w:val="Lista3"/>
        <w:numPr>
          <w:ilvl w:val="0"/>
          <w:numId w:val="69"/>
        </w:numPr>
        <w:spacing w:before="120" w:after="120"/>
        <w:jc w:val="both"/>
        <w:rPr>
          <w:sz w:val="20"/>
          <w:szCs w:val="20"/>
        </w:rPr>
      </w:pPr>
      <w:r w:rsidRPr="004E4AA7">
        <w:rPr>
          <w:sz w:val="20"/>
          <w:szCs w:val="20"/>
        </w:rPr>
        <w:t xml:space="preserve">SCW – Centralny Wydruk. System umożliwiający wsparcie procesu wydruku, </w:t>
      </w:r>
      <w:r w:rsidRPr="004E4AA7">
        <w:rPr>
          <w:sz w:val="20"/>
          <w:szCs w:val="20"/>
        </w:rPr>
        <w:br/>
        <w:t>w tym procesy masowe.</w:t>
      </w:r>
    </w:p>
    <w:p w14:paraId="4BAB3C1B" w14:textId="77777777" w:rsidR="00662E2D" w:rsidRPr="004E4AA7" w:rsidRDefault="00662E2D">
      <w:pPr>
        <w:pStyle w:val="Lista3"/>
        <w:numPr>
          <w:ilvl w:val="0"/>
          <w:numId w:val="69"/>
        </w:numPr>
        <w:spacing w:before="120" w:after="120"/>
        <w:jc w:val="both"/>
        <w:rPr>
          <w:sz w:val="20"/>
          <w:szCs w:val="20"/>
        </w:rPr>
      </w:pPr>
      <w:r w:rsidRPr="004E4AA7">
        <w:rPr>
          <w:sz w:val="20"/>
          <w:szCs w:val="20"/>
        </w:rPr>
        <w:t xml:space="preserve">EPO – Elektroniczne Potwierdzenie Odbioru, komponent wykorzystywany z punktu widzenia systemu KRZ w zakresie potwierdzenia dostarczenia korespondencji. </w:t>
      </w:r>
    </w:p>
    <w:p w14:paraId="032DA750" w14:textId="77777777" w:rsidR="00662E2D" w:rsidRPr="004E4AA7" w:rsidRDefault="00662E2D">
      <w:pPr>
        <w:pStyle w:val="Lista3"/>
        <w:numPr>
          <w:ilvl w:val="0"/>
          <w:numId w:val="69"/>
        </w:numPr>
        <w:spacing w:before="120" w:after="120"/>
        <w:jc w:val="both"/>
        <w:rPr>
          <w:sz w:val="20"/>
          <w:szCs w:val="20"/>
        </w:rPr>
      </w:pPr>
      <w:r w:rsidRPr="004E4AA7">
        <w:rPr>
          <w:sz w:val="20"/>
          <w:szCs w:val="20"/>
        </w:rPr>
        <w:t>ZSRK – Zintegrowany System Rachunkowo Księgowy wdrożony w ramach Ministerstwa Sprawiedliwości.</w:t>
      </w:r>
    </w:p>
    <w:p w14:paraId="097850D4" w14:textId="77777777" w:rsidR="00662E2D" w:rsidRPr="004E4AA7" w:rsidRDefault="00662E2D">
      <w:pPr>
        <w:pStyle w:val="Lista3"/>
        <w:numPr>
          <w:ilvl w:val="0"/>
          <w:numId w:val="69"/>
        </w:numPr>
        <w:spacing w:before="120" w:after="120"/>
        <w:ind w:left="714" w:hanging="357"/>
        <w:jc w:val="both"/>
        <w:rPr>
          <w:sz w:val="20"/>
          <w:szCs w:val="20"/>
        </w:rPr>
      </w:pPr>
      <w:r w:rsidRPr="004E4AA7">
        <w:rPr>
          <w:sz w:val="20"/>
          <w:szCs w:val="20"/>
        </w:rPr>
        <w:lastRenderedPageBreak/>
        <w:t>Tożsamość – komponent odpowiedzialny za weryfikację i zarządzanie dostępem dla zewnętrznych uczestników postępowań.</w:t>
      </w:r>
    </w:p>
    <w:p w14:paraId="67C1814C" w14:textId="77777777" w:rsidR="00662E2D" w:rsidRPr="004E4AA7" w:rsidRDefault="00662E2D">
      <w:pPr>
        <w:pStyle w:val="Lista3"/>
        <w:numPr>
          <w:ilvl w:val="0"/>
          <w:numId w:val="69"/>
        </w:numPr>
        <w:spacing w:before="120" w:after="120"/>
        <w:ind w:left="714" w:hanging="357"/>
        <w:jc w:val="both"/>
        <w:rPr>
          <w:sz w:val="20"/>
          <w:szCs w:val="20"/>
        </w:rPr>
      </w:pPr>
      <w:r w:rsidRPr="004E4AA7">
        <w:rPr>
          <w:sz w:val="20"/>
          <w:szCs w:val="20"/>
        </w:rPr>
        <w:t xml:space="preserve">RPA – Ewidencja profesji prawniczych, np.: radcy prawni, adwokaci. </w:t>
      </w:r>
    </w:p>
    <w:p w14:paraId="0D7A2306" w14:textId="7178070F" w:rsidR="00662E2D" w:rsidRDefault="00662E2D" w:rsidP="00AE476C">
      <w:pPr>
        <w:pStyle w:val="Lista3"/>
        <w:numPr>
          <w:ilvl w:val="0"/>
          <w:numId w:val="69"/>
        </w:numPr>
        <w:spacing w:before="120" w:after="120"/>
        <w:ind w:left="714" w:hanging="357"/>
        <w:jc w:val="both"/>
        <w:rPr>
          <w:sz w:val="20"/>
          <w:szCs w:val="20"/>
        </w:rPr>
      </w:pPr>
      <w:r w:rsidRPr="00012D2E">
        <w:rPr>
          <w:sz w:val="20"/>
          <w:szCs w:val="20"/>
        </w:rPr>
        <w:t>Feye – ochrona antywirusowa dokumentów.</w:t>
      </w:r>
      <w:r w:rsidR="00012D2E" w:rsidRPr="00012D2E">
        <w:rPr>
          <w:sz w:val="20"/>
          <w:szCs w:val="20"/>
        </w:rPr>
        <w:t xml:space="preserve"> </w:t>
      </w:r>
    </w:p>
    <w:p w14:paraId="24B3AE2E" w14:textId="1C2DEB90" w:rsidR="00012D2E" w:rsidRDefault="00012D2E" w:rsidP="00012D2E">
      <w:pPr>
        <w:pStyle w:val="Lista3"/>
        <w:spacing w:before="120" w:after="120"/>
        <w:ind w:left="714" w:firstLine="0"/>
        <w:jc w:val="both"/>
        <w:rPr>
          <w:sz w:val="20"/>
          <w:szCs w:val="20"/>
        </w:rPr>
      </w:pPr>
    </w:p>
    <w:p w14:paraId="48658AC4" w14:textId="7A89677A" w:rsidR="00012D2E" w:rsidRDefault="00012D2E" w:rsidP="00012D2E">
      <w:pPr>
        <w:pStyle w:val="Lista3"/>
        <w:spacing w:before="120" w:after="120"/>
        <w:ind w:left="714" w:firstLine="0"/>
        <w:jc w:val="both"/>
        <w:rPr>
          <w:sz w:val="20"/>
          <w:szCs w:val="20"/>
        </w:rPr>
      </w:pPr>
    </w:p>
    <w:p w14:paraId="08F4BB38" w14:textId="3EF72B8B" w:rsidR="00662E2D" w:rsidRDefault="00D60E51" w:rsidP="00012D2E">
      <w:pPr>
        <w:pStyle w:val="Lista3"/>
        <w:keepNext/>
        <w:spacing w:before="120" w:after="120"/>
        <w:ind w:left="0" w:firstLine="0"/>
        <w:rPr>
          <w:b/>
          <w:bCs/>
          <w:sz w:val="22"/>
          <w:szCs w:val="22"/>
        </w:rPr>
      </w:pPr>
      <w:bookmarkStart w:id="70" w:name="_Toc523217115"/>
      <w:bookmarkStart w:id="71" w:name="_Toc14877583"/>
      <w:bookmarkStart w:id="72" w:name="_Toc134561915"/>
      <w:r w:rsidRPr="00D60E51">
        <w:rPr>
          <w:b/>
          <w:sz w:val="22"/>
          <w:szCs w:val="22"/>
        </w:rPr>
        <w:t xml:space="preserve">6.5 </w:t>
      </w:r>
      <w:r>
        <w:rPr>
          <w:b/>
          <w:sz w:val="22"/>
          <w:szCs w:val="22"/>
        </w:rPr>
        <w:t xml:space="preserve"> </w:t>
      </w:r>
      <w:r w:rsidR="00662E2D" w:rsidRPr="00D60E51">
        <w:rPr>
          <w:b/>
          <w:bCs/>
          <w:sz w:val="22"/>
          <w:szCs w:val="22"/>
        </w:rPr>
        <w:t>Systemy zewnętrzne dostarczające usługi istotne dla systemu KRZ</w:t>
      </w:r>
      <w:bookmarkEnd w:id="70"/>
      <w:bookmarkEnd w:id="71"/>
      <w:bookmarkEnd w:id="72"/>
    </w:p>
    <w:p w14:paraId="2B4E50C9" w14:textId="77777777" w:rsidR="00012D2E" w:rsidRPr="00D60E51" w:rsidRDefault="00012D2E" w:rsidP="00012D2E">
      <w:pPr>
        <w:pStyle w:val="Lista3"/>
        <w:keepNext/>
        <w:spacing w:before="120" w:after="120"/>
        <w:ind w:left="0" w:firstLine="0"/>
        <w:rPr>
          <w:rFonts w:eastAsiaTheme="majorEastAsia"/>
          <w:b/>
          <w:color w:val="365F91" w:themeColor="accent1" w:themeShade="BF"/>
          <w:sz w:val="20"/>
          <w:szCs w:val="20"/>
        </w:rPr>
      </w:pPr>
    </w:p>
    <w:p w14:paraId="2FBF0134" w14:textId="77777777" w:rsidR="00662E2D" w:rsidRPr="004E4AA7" w:rsidRDefault="00662E2D">
      <w:pPr>
        <w:pStyle w:val="Lista3"/>
        <w:numPr>
          <w:ilvl w:val="0"/>
          <w:numId w:val="70"/>
        </w:numPr>
        <w:spacing w:before="120" w:after="120"/>
        <w:jc w:val="both"/>
        <w:rPr>
          <w:sz w:val="20"/>
          <w:szCs w:val="20"/>
        </w:rPr>
      </w:pPr>
      <w:r w:rsidRPr="004E4AA7">
        <w:rPr>
          <w:sz w:val="20"/>
          <w:szCs w:val="20"/>
        </w:rPr>
        <w:t xml:space="preserve">Węzeł Krajowy – w ramach rozwiązania KRZ wykorzystano usługi dostępu do środków identyfikacji elektronicznej zintegrowanych z Węzłem Krajowym. </w:t>
      </w:r>
    </w:p>
    <w:p w14:paraId="4D9DE1A9" w14:textId="77777777" w:rsidR="00662E2D" w:rsidRPr="004E4AA7" w:rsidRDefault="00662E2D">
      <w:pPr>
        <w:pStyle w:val="Lista3"/>
        <w:numPr>
          <w:ilvl w:val="0"/>
          <w:numId w:val="70"/>
        </w:numPr>
        <w:spacing w:before="120" w:after="120"/>
        <w:jc w:val="both"/>
        <w:rPr>
          <w:sz w:val="20"/>
          <w:szCs w:val="20"/>
        </w:rPr>
      </w:pPr>
      <w:r w:rsidRPr="004E4AA7">
        <w:rPr>
          <w:sz w:val="20"/>
          <w:szCs w:val="20"/>
        </w:rPr>
        <w:t>e-Justice (e-Sprawiedliwość). Za pośrednictwem tego systemu użytkownicy mają możliwość wyszukiwania podmiotów wpisanych do rejestrów upadłościowych, w tym przetwarzanych w KRZ.</w:t>
      </w:r>
    </w:p>
    <w:p w14:paraId="3CE6EBF5" w14:textId="77777777" w:rsidR="00662E2D" w:rsidRPr="004E4AA7" w:rsidRDefault="00662E2D">
      <w:pPr>
        <w:pStyle w:val="Lista3"/>
        <w:numPr>
          <w:ilvl w:val="0"/>
          <w:numId w:val="70"/>
        </w:numPr>
        <w:spacing w:before="120" w:after="120"/>
        <w:jc w:val="both"/>
        <w:rPr>
          <w:sz w:val="20"/>
          <w:szCs w:val="20"/>
        </w:rPr>
      </w:pPr>
      <w:r w:rsidRPr="004E4AA7">
        <w:rPr>
          <w:sz w:val="20"/>
          <w:szCs w:val="20"/>
        </w:rPr>
        <w:t>PESEL – Rejestr PESEL z którego pobierane są aktualne dane identyfikacyjne podmiotu.</w:t>
      </w:r>
    </w:p>
    <w:p w14:paraId="01F6EE80" w14:textId="77777777" w:rsidR="00662E2D" w:rsidRPr="004E4AA7" w:rsidRDefault="00662E2D">
      <w:pPr>
        <w:pStyle w:val="Lista3"/>
        <w:numPr>
          <w:ilvl w:val="0"/>
          <w:numId w:val="70"/>
        </w:numPr>
        <w:spacing w:before="120" w:after="120"/>
        <w:jc w:val="both"/>
        <w:rPr>
          <w:sz w:val="20"/>
          <w:szCs w:val="20"/>
        </w:rPr>
      </w:pPr>
      <w:r w:rsidRPr="004E4AA7">
        <w:rPr>
          <w:sz w:val="20"/>
          <w:szCs w:val="20"/>
        </w:rPr>
        <w:t>TERYT - System zawiera identyfikatory i nazwy jednostek zasadniczego trójstopniowego podziału terytorialnego kraju i jest zbudowany według hierarchicznej numeracji: województw, powiatów, gmin.</w:t>
      </w:r>
    </w:p>
    <w:p w14:paraId="79284577" w14:textId="77777777" w:rsidR="00662E2D" w:rsidRPr="004E4AA7" w:rsidRDefault="00662E2D" w:rsidP="000D3B07">
      <w:pPr>
        <w:pStyle w:val="Lista3"/>
        <w:spacing w:before="120" w:after="120"/>
        <w:jc w:val="both"/>
        <w:rPr>
          <w:sz w:val="20"/>
          <w:szCs w:val="20"/>
        </w:rPr>
      </w:pPr>
    </w:p>
    <w:p w14:paraId="08169FD0" w14:textId="3B63DB29" w:rsidR="00662E2D" w:rsidRPr="00D60E51" w:rsidRDefault="00D60E51" w:rsidP="00D60E51">
      <w:pPr>
        <w:pStyle w:val="Nagwek3"/>
        <w:rPr>
          <w:b/>
          <w:bCs/>
          <w:i w:val="0"/>
          <w:iCs w:val="0"/>
          <w:sz w:val="22"/>
          <w:szCs w:val="22"/>
        </w:rPr>
      </w:pPr>
      <w:bookmarkStart w:id="73" w:name="_Toc119404868"/>
      <w:bookmarkStart w:id="74" w:name="_Toc134561916"/>
      <w:bookmarkStart w:id="75" w:name="_Toc134563679"/>
      <w:r>
        <w:rPr>
          <w:b/>
          <w:bCs/>
          <w:i w:val="0"/>
          <w:iCs w:val="0"/>
          <w:sz w:val="22"/>
          <w:szCs w:val="22"/>
        </w:rPr>
        <w:t xml:space="preserve">6.6  </w:t>
      </w:r>
      <w:r w:rsidR="00662E2D" w:rsidRPr="00D60E51">
        <w:rPr>
          <w:b/>
          <w:bCs/>
          <w:i w:val="0"/>
          <w:iCs w:val="0"/>
          <w:sz w:val="22"/>
          <w:szCs w:val="22"/>
        </w:rPr>
        <w:t>Środowiska Systemu</w:t>
      </w:r>
      <w:bookmarkEnd w:id="73"/>
      <w:bookmarkEnd w:id="74"/>
      <w:bookmarkEnd w:id="75"/>
    </w:p>
    <w:p w14:paraId="66FD9FCA" w14:textId="77777777" w:rsidR="00662E2D" w:rsidRPr="004E4AA7" w:rsidRDefault="00662E2D" w:rsidP="000D3B07">
      <w:pPr>
        <w:spacing w:before="120" w:after="120"/>
        <w:rPr>
          <w:sz w:val="20"/>
          <w:szCs w:val="20"/>
        </w:rPr>
      </w:pPr>
      <w:r w:rsidRPr="004E4AA7">
        <w:rPr>
          <w:sz w:val="20"/>
          <w:szCs w:val="20"/>
        </w:rPr>
        <w:t xml:space="preserve">W infrastrukturze techniczno-systemowej Zamawiającego zbudowane zostały środowiska nieprodukcyjne: DEV, SAK, ROZ, TST, TST2, SZKOL, PPROD i środowisko produkcyjne PROD. </w:t>
      </w:r>
    </w:p>
    <w:p w14:paraId="2AE7EF30" w14:textId="61D7CF31" w:rsidR="00662E2D" w:rsidRPr="004E4AA7" w:rsidRDefault="00662E2D" w:rsidP="000D3B07">
      <w:pPr>
        <w:spacing w:before="120" w:after="120"/>
        <w:rPr>
          <w:sz w:val="20"/>
          <w:szCs w:val="20"/>
        </w:rPr>
      </w:pPr>
      <w:r w:rsidRPr="004E4AA7">
        <w:rPr>
          <w:sz w:val="20"/>
          <w:szCs w:val="20"/>
        </w:rPr>
        <w:t>Dostęp do środowisk nieprodukcyjnych z sieci Internet jest możliwy wyłącznie dla środowiska PPROD, które wymaga od użytkownika posiadania certyfikatu dostępowego wydanego przez MS. Dla pozostałych środowisk dostęp jest możliwy wyłącznie z sieci MS.</w:t>
      </w:r>
    </w:p>
    <w:p w14:paraId="2F347C2B" w14:textId="77777777" w:rsidR="008024E6" w:rsidRPr="004E4AA7" w:rsidRDefault="008024E6" w:rsidP="000D3B07">
      <w:pPr>
        <w:spacing w:before="120" w:after="120"/>
        <w:rPr>
          <w:sz w:val="20"/>
          <w:szCs w:val="20"/>
        </w:rPr>
      </w:pPr>
    </w:p>
    <w:p w14:paraId="2305CFB7" w14:textId="2FA72C86" w:rsidR="00662E2D" w:rsidRPr="00D60E51" w:rsidRDefault="00D60E51" w:rsidP="00D60E51">
      <w:pPr>
        <w:pStyle w:val="Nagwek3"/>
        <w:rPr>
          <w:b/>
          <w:bCs/>
          <w:i w:val="0"/>
          <w:iCs w:val="0"/>
          <w:sz w:val="22"/>
          <w:szCs w:val="22"/>
        </w:rPr>
      </w:pPr>
      <w:bookmarkStart w:id="76" w:name="_Toc119404869"/>
      <w:bookmarkStart w:id="77" w:name="_Toc134561917"/>
      <w:bookmarkStart w:id="78" w:name="_Toc134563680"/>
      <w:r>
        <w:rPr>
          <w:b/>
          <w:bCs/>
          <w:i w:val="0"/>
          <w:iCs w:val="0"/>
          <w:sz w:val="22"/>
          <w:szCs w:val="22"/>
        </w:rPr>
        <w:t xml:space="preserve">6.7  </w:t>
      </w:r>
      <w:r w:rsidR="00662E2D" w:rsidRPr="00D60E51">
        <w:rPr>
          <w:b/>
          <w:bCs/>
          <w:i w:val="0"/>
          <w:iCs w:val="0"/>
          <w:sz w:val="22"/>
          <w:szCs w:val="22"/>
        </w:rPr>
        <w:t>Technologie użyte do budowy Systemu</w:t>
      </w:r>
      <w:bookmarkEnd w:id="76"/>
      <w:bookmarkEnd w:id="77"/>
      <w:bookmarkEnd w:id="78"/>
    </w:p>
    <w:p w14:paraId="30FE61CB" w14:textId="77777777" w:rsidR="00662E2D" w:rsidRPr="004E4AA7" w:rsidRDefault="00662E2D" w:rsidP="000D3B07">
      <w:pPr>
        <w:spacing w:before="120" w:after="120"/>
        <w:rPr>
          <w:sz w:val="20"/>
          <w:szCs w:val="20"/>
        </w:rPr>
      </w:pPr>
      <w:r w:rsidRPr="004E4AA7">
        <w:rPr>
          <w:sz w:val="20"/>
          <w:szCs w:val="20"/>
        </w:rPr>
        <w:t>System KRZ został zbudowany w oparciu o technologie określone w poniższej tabeli:</w:t>
      </w:r>
    </w:p>
    <w:p w14:paraId="29FA7912" w14:textId="77777777" w:rsidR="00662E2D" w:rsidRPr="004E4AA7" w:rsidRDefault="00662E2D" w:rsidP="000D3B07">
      <w:pPr>
        <w:pStyle w:val="Legenda"/>
        <w:spacing w:before="120" w:after="120"/>
        <w:rPr>
          <w:rFonts w:ascii="Times New Roman" w:hAnsi="Times New Roman"/>
          <w:sz w:val="20"/>
        </w:rPr>
      </w:pPr>
      <w:bookmarkStart w:id="79" w:name="_Toc119404879"/>
      <w:r w:rsidRPr="004E4AA7">
        <w:rPr>
          <w:rFonts w:ascii="Times New Roman" w:hAnsi="Times New Roman"/>
          <w:sz w:val="20"/>
        </w:rPr>
        <w:t xml:space="preserve">Tabela </w:t>
      </w:r>
      <w:r w:rsidRPr="004E4AA7">
        <w:rPr>
          <w:rFonts w:ascii="Times New Roman" w:hAnsi="Times New Roman"/>
          <w:sz w:val="20"/>
        </w:rPr>
        <w:fldChar w:fldCharType="begin"/>
      </w:r>
      <w:r w:rsidRPr="004E4AA7">
        <w:rPr>
          <w:rFonts w:ascii="Times New Roman" w:hAnsi="Times New Roman"/>
          <w:sz w:val="20"/>
        </w:rPr>
        <w:instrText xml:space="preserve"> SEQ Tabela \* ARABIC </w:instrText>
      </w:r>
      <w:r w:rsidRPr="004E4AA7">
        <w:rPr>
          <w:rFonts w:ascii="Times New Roman" w:hAnsi="Times New Roman"/>
          <w:sz w:val="20"/>
        </w:rPr>
        <w:fldChar w:fldCharType="separate"/>
      </w:r>
      <w:r w:rsidRPr="004E4AA7">
        <w:rPr>
          <w:rFonts w:ascii="Times New Roman" w:hAnsi="Times New Roman"/>
          <w:noProof/>
          <w:sz w:val="20"/>
        </w:rPr>
        <w:t>1</w:t>
      </w:r>
      <w:r w:rsidRPr="004E4AA7">
        <w:rPr>
          <w:rFonts w:ascii="Times New Roman" w:hAnsi="Times New Roman"/>
          <w:sz w:val="20"/>
        </w:rPr>
        <w:fldChar w:fldCharType="end"/>
      </w:r>
      <w:r w:rsidRPr="004E4AA7">
        <w:rPr>
          <w:rFonts w:ascii="Times New Roman" w:hAnsi="Times New Roman"/>
          <w:sz w:val="20"/>
        </w:rPr>
        <w:t xml:space="preserve"> – Wykaz technologii użytych do budowy Systemu KRZ</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090"/>
      </w:tblGrid>
      <w:tr w:rsidR="00662E2D" w:rsidRPr="004E4AA7" w14:paraId="64DD2EC7" w14:textId="77777777" w:rsidTr="00BB6EDE">
        <w:trPr>
          <w:trHeight w:val="284"/>
          <w:jc w:val="center"/>
        </w:trPr>
        <w:tc>
          <w:tcPr>
            <w:tcW w:w="2972" w:type="dxa"/>
            <w:shd w:val="clear" w:color="auto" w:fill="4F81BD" w:themeFill="accent1"/>
          </w:tcPr>
          <w:p w14:paraId="09037698" w14:textId="77777777" w:rsidR="00662E2D" w:rsidRPr="004E4AA7" w:rsidRDefault="00662E2D" w:rsidP="000D3B07">
            <w:pPr>
              <w:spacing w:before="120" w:after="120"/>
              <w:rPr>
                <w:b/>
                <w:color w:val="FFFFFF"/>
                <w:sz w:val="20"/>
                <w:szCs w:val="20"/>
              </w:rPr>
            </w:pPr>
            <w:r w:rsidRPr="004E4AA7">
              <w:rPr>
                <w:b/>
                <w:color w:val="FFFFFF"/>
                <w:sz w:val="20"/>
                <w:szCs w:val="20"/>
              </w:rPr>
              <w:t>Warstwa rozwiązania</w:t>
            </w:r>
          </w:p>
        </w:tc>
        <w:tc>
          <w:tcPr>
            <w:tcW w:w="6090" w:type="dxa"/>
            <w:shd w:val="clear" w:color="auto" w:fill="4F81BD" w:themeFill="accent1"/>
          </w:tcPr>
          <w:p w14:paraId="64E94A88" w14:textId="77777777" w:rsidR="00662E2D" w:rsidRPr="004E4AA7" w:rsidRDefault="00662E2D" w:rsidP="000D3B07">
            <w:pPr>
              <w:spacing w:before="120" w:after="120"/>
              <w:rPr>
                <w:b/>
                <w:color w:val="FFFFFF"/>
                <w:sz w:val="20"/>
                <w:szCs w:val="20"/>
              </w:rPr>
            </w:pPr>
            <w:r w:rsidRPr="004E4AA7">
              <w:rPr>
                <w:b/>
                <w:color w:val="FFFFFF"/>
                <w:sz w:val="20"/>
                <w:szCs w:val="20"/>
              </w:rPr>
              <w:t>Technologia</w:t>
            </w:r>
          </w:p>
        </w:tc>
      </w:tr>
      <w:tr w:rsidR="00662E2D" w:rsidRPr="004E4AA7" w14:paraId="20065548" w14:textId="77777777" w:rsidTr="00BB6EDE">
        <w:trPr>
          <w:trHeight w:val="284"/>
          <w:jc w:val="center"/>
        </w:trPr>
        <w:tc>
          <w:tcPr>
            <w:tcW w:w="2972" w:type="dxa"/>
            <w:vAlign w:val="center"/>
          </w:tcPr>
          <w:p w14:paraId="14586D4D" w14:textId="77777777" w:rsidR="00662E2D" w:rsidRPr="004E4AA7" w:rsidRDefault="00662E2D" w:rsidP="000D3B07">
            <w:pPr>
              <w:spacing w:before="120" w:after="120"/>
              <w:rPr>
                <w:sz w:val="20"/>
                <w:szCs w:val="20"/>
              </w:rPr>
            </w:pPr>
            <w:r w:rsidRPr="004E4AA7">
              <w:rPr>
                <w:sz w:val="20"/>
                <w:szCs w:val="20"/>
              </w:rPr>
              <w:t>Bazy danych</w:t>
            </w:r>
          </w:p>
        </w:tc>
        <w:tc>
          <w:tcPr>
            <w:tcW w:w="6090" w:type="dxa"/>
            <w:vAlign w:val="center"/>
          </w:tcPr>
          <w:p w14:paraId="1F65D0C2" w14:textId="77777777" w:rsidR="00662E2D" w:rsidRPr="004E4AA7" w:rsidRDefault="00662E2D" w:rsidP="000D3B07">
            <w:pPr>
              <w:spacing w:before="120" w:after="120"/>
              <w:rPr>
                <w:sz w:val="20"/>
                <w:szCs w:val="20"/>
                <w:lang w:val="en-US"/>
              </w:rPr>
            </w:pPr>
            <w:r w:rsidRPr="004E4AA7">
              <w:rPr>
                <w:b/>
                <w:bCs/>
                <w:sz w:val="20"/>
                <w:szCs w:val="20"/>
                <w:lang w:val="en-US"/>
              </w:rPr>
              <w:t>MS SQL Server</w:t>
            </w:r>
            <w:r w:rsidRPr="004E4AA7">
              <w:rPr>
                <w:sz w:val="20"/>
                <w:szCs w:val="20"/>
                <w:lang w:val="en-US"/>
              </w:rPr>
              <w:t>, IBM DB2 LUW v11</w:t>
            </w:r>
          </w:p>
        </w:tc>
      </w:tr>
      <w:tr w:rsidR="00662E2D" w:rsidRPr="004E4AA7" w14:paraId="13E0B78B" w14:textId="77777777" w:rsidTr="00BB6EDE">
        <w:trPr>
          <w:trHeight w:val="284"/>
          <w:jc w:val="center"/>
        </w:trPr>
        <w:tc>
          <w:tcPr>
            <w:tcW w:w="2972" w:type="dxa"/>
            <w:vAlign w:val="center"/>
          </w:tcPr>
          <w:p w14:paraId="2E02647A" w14:textId="77777777" w:rsidR="00662E2D" w:rsidRPr="004E4AA7" w:rsidRDefault="00662E2D" w:rsidP="000D3B07">
            <w:pPr>
              <w:spacing w:before="120" w:after="120"/>
              <w:rPr>
                <w:sz w:val="20"/>
                <w:szCs w:val="20"/>
              </w:rPr>
            </w:pPr>
            <w:r w:rsidRPr="004E4AA7">
              <w:rPr>
                <w:sz w:val="20"/>
                <w:szCs w:val="20"/>
              </w:rPr>
              <w:t>Serwer aplikacyjny</w:t>
            </w:r>
          </w:p>
        </w:tc>
        <w:tc>
          <w:tcPr>
            <w:tcW w:w="6090" w:type="dxa"/>
            <w:vAlign w:val="center"/>
          </w:tcPr>
          <w:p w14:paraId="2CD57470" w14:textId="77777777" w:rsidR="00662E2D" w:rsidRPr="004E4AA7" w:rsidRDefault="00662E2D" w:rsidP="000D3B07">
            <w:pPr>
              <w:spacing w:before="120" w:after="120"/>
              <w:rPr>
                <w:sz w:val="20"/>
                <w:szCs w:val="20"/>
              </w:rPr>
            </w:pPr>
            <w:r w:rsidRPr="004E4AA7">
              <w:rPr>
                <w:sz w:val="20"/>
                <w:szCs w:val="20"/>
              </w:rPr>
              <w:t>Red Hat OpenShift v4.4.5+</w:t>
            </w:r>
          </w:p>
        </w:tc>
      </w:tr>
      <w:tr w:rsidR="00662E2D" w:rsidRPr="004E4AA7" w14:paraId="3650EBAF" w14:textId="77777777" w:rsidTr="00BB6EDE">
        <w:trPr>
          <w:trHeight w:val="284"/>
          <w:jc w:val="center"/>
        </w:trPr>
        <w:tc>
          <w:tcPr>
            <w:tcW w:w="2972" w:type="dxa"/>
            <w:vAlign w:val="center"/>
          </w:tcPr>
          <w:p w14:paraId="2EEE1495" w14:textId="77777777" w:rsidR="00662E2D" w:rsidRPr="004E4AA7" w:rsidRDefault="00662E2D" w:rsidP="000D3B07">
            <w:pPr>
              <w:spacing w:before="120" w:after="120"/>
              <w:rPr>
                <w:sz w:val="20"/>
                <w:szCs w:val="20"/>
              </w:rPr>
            </w:pPr>
            <w:r w:rsidRPr="004E4AA7">
              <w:rPr>
                <w:sz w:val="20"/>
                <w:szCs w:val="20"/>
              </w:rPr>
              <w:t>Aplikacje Frontend</w:t>
            </w:r>
          </w:p>
        </w:tc>
        <w:tc>
          <w:tcPr>
            <w:tcW w:w="6090" w:type="dxa"/>
            <w:vAlign w:val="center"/>
          </w:tcPr>
          <w:p w14:paraId="7E985DBC" w14:textId="77777777" w:rsidR="00662E2D" w:rsidRPr="004E4AA7" w:rsidRDefault="00662E2D" w:rsidP="000D3B07">
            <w:pPr>
              <w:spacing w:before="120" w:after="120"/>
              <w:rPr>
                <w:sz w:val="20"/>
                <w:szCs w:val="20"/>
              </w:rPr>
            </w:pPr>
            <w:r w:rsidRPr="004E4AA7">
              <w:rPr>
                <w:sz w:val="20"/>
                <w:szCs w:val="20"/>
              </w:rPr>
              <w:t>Angular 9, PrimeNG</w:t>
            </w:r>
          </w:p>
        </w:tc>
      </w:tr>
      <w:tr w:rsidR="00662E2D" w:rsidRPr="004E4AA7" w14:paraId="4E00FC8A" w14:textId="77777777" w:rsidTr="00BB6EDE">
        <w:trPr>
          <w:trHeight w:val="284"/>
          <w:jc w:val="center"/>
        </w:trPr>
        <w:tc>
          <w:tcPr>
            <w:tcW w:w="2972" w:type="dxa"/>
            <w:vAlign w:val="center"/>
          </w:tcPr>
          <w:p w14:paraId="596E721D" w14:textId="77777777" w:rsidR="00662E2D" w:rsidRPr="004E4AA7" w:rsidRDefault="00662E2D" w:rsidP="000D3B07">
            <w:pPr>
              <w:spacing w:before="120" w:after="120"/>
              <w:rPr>
                <w:sz w:val="20"/>
                <w:szCs w:val="20"/>
              </w:rPr>
            </w:pPr>
            <w:r w:rsidRPr="004E4AA7">
              <w:rPr>
                <w:sz w:val="20"/>
                <w:szCs w:val="20"/>
              </w:rPr>
              <w:t>Aplikacje Backend</w:t>
            </w:r>
          </w:p>
        </w:tc>
        <w:tc>
          <w:tcPr>
            <w:tcW w:w="6090" w:type="dxa"/>
            <w:vAlign w:val="center"/>
          </w:tcPr>
          <w:p w14:paraId="7D1C9EB2" w14:textId="77777777" w:rsidR="00662E2D" w:rsidRPr="004E4AA7" w:rsidRDefault="00662E2D" w:rsidP="000D3B07">
            <w:pPr>
              <w:spacing w:before="120" w:after="120"/>
              <w:rPr>
                <w:sz w:val="20"/>
                <w:szCs w:val="20"/>
              </w:rPr>
            </w:pPr>
            <w:r w:rsidRPr="004E4AA7">
              <w:rPr>
                <w:sz w:val="20"/>
                <w:szCs w:val="20"/>
              </w:rPr>
              <w:t>OpenJDK 11, SprintBoot 2.+</w:t>
            </w:r>
          </w:p>
        </w:tc>
      </w:tr>
      <w:tr w:rsidR="00662E2D" w:rsidRPr="004E4AA7" w14:paraId="3F5B1767" w14:textId="77777777" w:rsidTr="00BB6EDE">
        <w:trPr>
          <w:trHeight w:val="284"/>
          <w:jc w:val="center"/>
        </w:trPr>
        <w:tc>
          <w:tcPr>
            <w:tcW w:w="2972" w:type="dxa"/>
            <w:vAlign w:val="center"/>
          </w:tcPr>
          <w:p w14:paraId="16E506F0" w14:textId="77777777" w:rsidR="00662E2D" w:rsidRPr="004E4AA7" w:rsidRDefault="00662E2D" w:rsidP="000D3B07">
            <w:pPr>
              <w:spacing w:before="120" w:after="120"/>
              <w:rPr>
                <w:sz w:val="20"/>
                <w:szCs w:val="20"/>
              </w:rPr>
            </w:pPr>
            <w:r w:rsidRPr="004E4AA7">
              <w:rPr>
                <w:sz w:val="20"/>
                <w:szCs w:val="20"/>
              </w:rPr>
              <w:t>Silnik procesów</w:t>
            </w:r>
          </w:p>
        </w:tc>
        <w:tc>
          <w:tcPr>
            <w:tcW w:w="6090" w:type="dxa"/>
            <w:vAlign w:val="center"/>
          </w:tcPr>
          <w:p w14:paraId="6B47DFA1" w14:textId="77777777" w:rsidR="00662E2D" w:rsidRPr="004E4AA7" w:rsidRDefault="00662E2D" w:rsidP="000D3B07">
            <w:pPr>
              <w:spacing w:before="120" w:after="120"/>
              <w:rPr>
                <w:sz w:val="20"/>
                <w:szCs w:val="20"/>
              </w:rPr>
            </w:pPr>
            <w:r w:rsidRPr="004E4AA7">
              <w:rPr>
                <w:sz w:val="20"/>
                <w:szCs w:val="20"/>
              </w:rPr>
              <w:t>Flowable 6+</w:t>
            </w:r>
          </w:p>
        </w:tc>
      </w:tr>
      <w:tr w:rsidR="00662E2D" w:rsidRPr="004E4AA7" w14:paraId="4F1D3EB2" w14:textId="77777777" w:rsidTr="00BB6EDE">
        <w:trPr>
          <w:trHeight w:val="284"/>
          <w:jc w:val="center"/>
        </w:trPr>
        <w:tc>
          <w:tcPr>
            <w:tcW w:w="2972" w:type="dxa"/>
            <w:vAlign w:val="center"/>
          </w:tcPr>
          <w:p w14:paraId="249DA442" w14:textId="77777777" w:rsidR="00662E2D" w:rsidRPr="004E4AA7" w:rsidRDefault="00662E2D" w:rsidP="000D3B07">
            <w:pPr>
              <w:spacing w:before="120" w:after="120"/>
              <w:rPr>
                <w:sz w:val="20"/>
                <w:szCs w:val="20"/>
              </w:rPr>
            </w:pPr>
            <w:r w:rsidRPr="004E4AA7">
              <w:rPr>
                <w:sz w:val="20"/>
                <w:szCs w:val="20"/>
              </w:rPr>
              <w:t>Broker kolejek</w:t>
            </w:r>
          </w:p>
        </w:tc>
        <w:tc>
          <w:tcPr>
            <w:tcW w:w="6090" w:type="dxa"/>
            <w:vAlign w:val="center"/>
          </w:tcPr>
          <w:p w14:paraId="4EB349A6" w14:textId="77777777" w:rsidR="00662E2D" w:rsidRPr="004E4AA7" w:rsidRDefault="00662E2D" w:rsidP="000D3B07">
            <w:pPr>
              <w:spacing w:before="120" w:after="120"/>
              <w:rPr>
                <w:sz w:val="20"/>
                <w:szCs w:val="20"/>
                <w:lang w:val="en-US"/>
              </w:rPr>
            </w:pPr>
            <w:r w:rsidRPr="004E4AA7">
              <w:rPr>
                <w:sz w:val="20"/>
                <w:szCs w:val="20"/>
                <w:lang w:val="en-US"/>
              </w:rPr>
              <w:t>Red Hat Artemis MQ v7.8+</w:t>
            </w:r>
          </w:p>
        </w:tc>
      </w:tr>
      <w:tr w:rsidR="00662E2D" w:rsidRPr="004E4AA7" w14:paraId="6EC97E1B" w14:textId="77777777" w:rsidTr="00BB6EDE">
        <w:trPr>
          <w:trHeight w:val="284"/>
          <w:jc w:val="center"/>
        </w:trPr>
        <w:tc>
          <w:tcPr>
            <w:tcW w:w="2972" w:type="dxa"/>
            <w:vAlign w:val="center"/>
          </w:tcPr>
          <w:p w14:paraId="2FFB00E4" w14:textId="77777777" w:rsidR="00662E2D" w:rsidRPr="004E4AA7" w:rsidRDefault="00662E2D" w:rsidP="000D3B07">
            <w:pPr>
              <w:spacing w:before="120" w:after="120"/>
              <w:rPr>
                <w:sz w:val="20"/>
                <w:szCs w:val="20"/>
                <w:lang w:val="en-US"/>
              </w:rPr>
            </w:pPr>
            <w:r w:rsidRPr="004E4AA7">
              <w:rPr>
                <w:sz w:val="20"/>
                <w:szCs w:val="20"/>
                <w:lang w:val="en-US"/>
              </w:rPr>
              <w:t>Serwerowe systemy operacyjne</w:t>
            </w:r>
          </w:p>
        </w:tc>
        <w:tc>
          <w:tcPr>
            <w:tcW w:w="6090" w:type="dxa"/>
            <w:vAlign w:val="center"/>
          </w:tcPr>
          <w:p w14:paraId="4B5DF695" w14:textId="77777777" w:rsidR="00662E2D" w:rsidRPr="004E4AA7" w:rsidRDefault="00662E2D" w:rsidP="000D3B07">
            <w:pPr>
              <w:spacing w:before="120" w:after="120"/>
              <w:rPr>
                <w:sz w:val="20"/>
                <w:szCs w:val="20"/>
                <w:lang w:val="en-US"/>
              </w:rPr>
            </w:pPr>
            <w:r w:rsidRPr="004E4AA7">
              <w:rPr>
                <w:sz w:val="20"/>
                <w:szCs w:val="20"/>
              </w:rPr>
              <w:t xml:space="preserve">RHEL + </w:t>
            </w:r>
            <w:r w:rsidRPr="004E4AA7">
              <w:rPr>
                <w:b/>
                <w:bCs/>
                <w:sz w:val="20"/>
                <w:szCs w:val="20"/>
              </w:rPr>
              <w:t>MS Windows Server</w:t>
            </w:r>
          </w:p>
        </w:tc>
      </w:tr>
    </w:tbl>
    <w:p w14:paraId="42F7B2B1" w14:textId="77777777" w:rsidR="00662E2D" w:rsidRPr="004E4AA7" w:rsidRDefault="00662E2D" w:rsidP="000D3B07">
      <w:pPr>
        <w:spacing w:before="120" w:after="120"/>
        <w:rPr>
          <w:sz w:val="20"/>
          <w:szCs w:val="20"/>
        </w:rPr>
      </w:pPr>
    </w:p>
    <w:p w14:paraId="338F04E5" w14:textId="2A26DADD" w:rsidR="00662E2D" w:rsidRPr="00D60E51" w:rsidRDefault="00D60E51" w:rsidP="00D60E51">
      <w:pPr>
        <w:pStyle w:val="Nagwek3"/>
        <w:rPr>
          <w:b/>
          <w:bCs/>
          <w:i w:val="0"/>
          <w:iCs w:val="0"/>
          <w:sz w:val="22"/>
          <w:szCs w:val="22"/>
        </w:rPr>
      </w:pPr>
      <w:bookmarkStart w:id="80" w:name="_Toc115598561"/>
      <w:bookmarkStart w:id="81" w:name="_Toc134561918"/>
      <w:bookmarkStart w:id="82" w:name="_Toc134563681"/>
      <w:bookmarkStart w:id="83" w:name="_Toc48932976"/>
      <w:r>
        <w:rPr>
          <w:b/>
          <w:bCs/>
          <w:i w:val="0"/>
          <w:iCs w:val="0"/>
          <w:sz w:val="22"/>
          <w:szCs w:val="22"/>
        </w:rPr>
        <w:t xml:space="preserve">6.8  </w:t>
      </w:r>
      <w:r w:rsidR="00662E2D" w:rsidRPr="00D60E51">
        <w:rPr>
          <w:b/>
          <w:bCs/>
          <w:i w:val="0"/>
          <w:iCs w:val="0"/>
          <w:sz w:val="22"/>
          <w:szCs w:val="22"/>
        </w:rPr>
        <w:t>Komponenty aplikacyjne Systemu</w:t>
      </w:r>
      <w:bookmarkEnd w:id="80"/>
      <w:bookmarkEnd w:id="81"/>
      <w:bookmarkEnd w:id="82"/>
    </w:p>
    <w:p w14:paraId="10BBA1CE" w14:textId="77777777" w:rsidR="00662E2D" w:rsidRPr="004E4AA7" w:rsidRDefault="00662E2D" w:rsidP="000D3B07">
      <w:pPr>
        <w:spacing w:before="120" w:after="120"/>
        <w:rPr>
          <w:sz w:val="20"/>
          <w:szCs w:val="20"/>
        </w:rPr>
      </w:pPr>
      <w:r w:rsidRPr="004E4AA7">
        <w:rPr>
          <w:sz w:val="20"/>
          <w:szCs w:val="20"/>
        </w:rPr>
        <w:t>W rozdziale zostały opisane wytworzone komponenty aplikacyjne Systemu. Identyfikatory wersji komponentów wdrożonych w danym środowisku KRZ są określone w baseline oprogramowania KRZ.</w:t>
      </w:r>
    </w:p>
    <w:p w14:paraId="093B22CC" w14:textId="2791A958" w:rsidR="00662E2D" w:rsidRPr="004E4AA7" w:rsidRDefault="00662E2D">
      <w:pPr>
        <w:pStyle w:val="P1"/>
        <w:numPr>
          <w:ilvl w:val="3"/>
          <w:numId w:val="47"/>
        </w:numPr>
        <w:ind w:left="284" w:hanging="284"/>
        <w:rPr>
          <w:rFonts w:ascii="Times New Roman" w:hAnsi="Times New Roman" w:cs="Times New Roman"/>
          <w:b w:val="0"/>
          <w:bCs/>
          <w:i/>
          <w:iCs/>
          <w:sz w:val="20"/>
          <w:szCs w:val="20"/>
        </w:rPr>
      </w:pPr>
      <w:bookmarkStart w:id="84" w:name="_Toc115598562"/>
      <w:bookmarkStart w:id="85" w:name="_Toc134561919"/>
      <w:r w:rsidRPr="004E4AA7">
        <w:rPr>
          <w:rFonts w:ascii="Times New Roman" w:hAnsi="Times New Roman" w:cs="Times New Roman"/>
          <w:b w:val="0"/>
          <w:bCs/>
          <w:i/>
          <w:iCs/>
          <w:sz w:val="20"/>
          <w:szCs w:val="20"/>
        </w:rPr>
        <w:t>Adapter płatności</w:t>
      </w:r>
      <w:bookmarkEnd w:id="84"/>
      <w:bookmarkEnd w:id="85"/>
    </w:p>
    <w:p w14:paraId="3CB2A01C"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Adapter płatności </w:t>
      </w:r>
      <w:r w:rsidRPr="004E4AA7">
        <w:rPr>
          <w:sz w:val="20"/>
          <w:szCs w:val="20"/>
        </w:rPr>
        <w:t>zawarte są następujące komponenty aplikacyjne:</w:t>
      </w:r>
    </w:p>
    <w:p w14:paraId="2BB52E43" w14:textId="77777777" w:rsidR="00662E2D" w:rsidRPr="004E4AA7" w:rsidRDefault="00662E2D" w:rsidP="000D3B07">
      <w:pPr>
        <w:pStyle w:val="Legenda"/>
        <w:spacing w:before="120" w:after="120"/>
        <w:rPr>
          <w:rFonts w:ascii="Times New Roman" w:hAnsi="Times New Roman"/>
          <w:sz w:val="20"/>
        </w:rPr>
      </w:pPr>
      <w:bookmarkStart w:id="86" w:name="_Toc115598794"/>
      <w:r w:rsidRPr="004E4AA7">
        <w:rPr>
          <w:rFonts w:ascii="Times New Roman" w:hAnsi="Times New Roman"/>
          <w:sz w:val="20"/>
        </w:rPr>
        <w:lastRenderedPageBreak/>
        <w:t xml:space="preserve">Tabela </w:t>
      </w:r>
      <w:r w:rsidRPr="004E4AA7">
        <w:rPr>
          <w:rFonts w:ascii="Times New Roman" w:hAnsi="Times New Roman"/>
          <w:sz w:val="20"/>
        </w:rPr>
        <w:fldChar w:fldCharType="begin"/>
      </w:r>
      <w:r w:rsidRPr="004E4AA7">
        <w:rPr>
          <w:rFonts w:ascii="Times New Roman" w:hAnsi="Times New Roman"/>
          <w:sz w:val="20"/>
        </w:rPr>
        <w:instrText xml:space="preserve"> SEQ Tabela \* ARABIC </w:instrText>
      </w:r>
      <w:r w:rsidRPr="004E4AA7">
        <w:rPr>
          <w:rFonts w:ascii="Times New Roman" w:hAnsi="Times New Roman"/>
          <w:sz w:val="20"/>
        </w:rPr>
        <w:fldChar w:fldCharType="separate"/>
      </w:r>
      <w:r w:rsidRPr="004E4AA7">
        <w:rPr>
          <w:rFonts w:ascii="Times New Roman" w:hAnsi="Times New Roman"/>
          <w:noProof/>
          <w:sz w:val="20"/>
        </w:rPr>
        <w:t>2</w:t>
      </w:r>
      <w:r w:rsidRPr="004E4AA7">
        <w:rPr>
          <w:rFonts w:ascii="Times New Roman" w:hAnsi="Times New Roman"/>
          <w:sz w:val="20"/>
        </w:rPr>
        <w:fldChar w:fldCharType="end"/>
      </w:r>
      <w:r w:rsidRPr="004E4AA7">
        <w:rPr>
          <w:rFonts w:ascii="Times New Roman" w:hAnsi="Times New Roman"/>
          <w:sz w:val="20"/>
        </w:rPr>
        <w:t xml:space="preserve"> - Komponenty podsystemu Adapter płatności</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44ABAF38"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0BC7CE1"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A0FBAF3"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883D5BF"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D0BE83F" w14:textId="77777777" w:rsidTr="00BB6EDE">
        <w:trPr>
          <w:cantSplit/>
          <w:trHeight w:val="284"/>
          <w:tblHeader/>
          <w:jc w:val="center"/>
        </w:trPr>
        <w:tc>
          <w:tcPr>
            <w:tcW w:w="5670" w:type="dxa"/>
            <w:vAlign w:val="center"/>
          </w:tcPr>
          <w:p w14:paraId="096DBEFB" w14:textId="77777777" w:rsidR="00662E2D" w:rsidRPr="004E4AA7" w:rsidRDefault="00662E2D" w:rsidP="000D3B07">
            <w:pPr>
              <w:spacing w:before="120" w:after="120"/>
              <w:rPr>
                <w:sz w:val="20"/>
                <w:szCs w:val="20"/>
              </w:rPr>
            </w:pPr>
            <w:r w:rsidRPr="004E4AA7">
              <w:rPr>
                <w:color w:val="000000"/>
                <w:sz w:val="20"/>
                <w:szCs w:val="20"/>
              </w:rPr>
              <w:t>Adapter do systemu płatności</w:t>
            </w:r>
          </w:p>
        </w:tc>
        <w:tc>
          <w:tcPr>
            <w:tcW w:w="1415" w:type="dxa"/>
            <w:vAlign w:val="center"/>
          </w:tcPr>
          <w:p w14:paraId="5244492C"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20B7FA59" w14:textId="77777777" w:rsidR="00662E2D" w:rsidRPr="004E4AA7" w:rsidRDefault="00662E2D" w:rsidP="000D3B07">
            <w:pPr>
              <w:spacing w:before="120" w:after="120"/>
              <w:rPr>
                <w:sz w:val="20"/>
                <w:szCs w:val="20"/>
              </w:rPr>
            </w:pPr>
            <w:r w:rsidRPr="004E4AA7">
              <w:rPr>
                <w:color w:val="000000"/>
                <w:sz w:val="20"/>
                <w:szCs w:val="20"/>
              </w:rPr>
              <w:t>pay-adapter</w:t>
            </w:r>
          </w:p>
        </w:tc>
      </w:tr>
    </w:tbl>
    <w:p w14:paraId="7926DA30"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87" w:name="_Toc61411003"/>
      <w:bookmarkStart w:id="88" w:name="_Toc63186227"/>
      <w:bookmarkStart w:id="89" w:name="_Toc115598563"/>
      <w:bookmarkStart w:id="90" w:name="_Toc134561920"/>
    </w:p>
    <w:p w14:paraId="5CD99067" w14:textId="1782348E" w:rsidR="00662E2D" w:rsidRPr="004E4AA7" w:rsidRDefault="00662E2D">
      <w:pPr>
        <w:pStyle w:val="P1"/>
        <w:numPr>
          <w:ilvl w:val="3"/>
          <w:numId w:val="47"/>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Elektroniczne skrzynki podawcze</w:t>
      </w:r>
      <w:bookmarkEnd w:id="87"/>
      <w:bookmarkEnd w:id="88"/>
      <w:r w:rsidRPr="004E4AA7">
        <w:rPr>
          <w:rFonts w:ascii="Times New Roman" w:hAnsi="Times New Roman" w:cs="Times New Roman"/>
          <w:b w:val="0"/>
          <w:bCs/>
          <w:i/>
          <w:iCs/>
          <w:sz w:val="20"/>
          <w:szCs w:val="20"/>
        </w:rPr>
        <w:t xml:space="preserve"> i doręczeń</w:t>
      </w:r>
      <w:bookmarkEnd w:id="89"/>
      <w:bookmarkEnd w:id="90"/>
    </w:p>
    <w:p w14:paraId="21859F41"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Elektroniczne skrzynki podawcze i doręczeń</w:t>
      </w:r>
      <w:r w:rsidRPr="004E4AA7">
        <w:rPr>
          <w:sz w:val="20"/>
          <w:szCs w:val="20"/>
        </w:rPr>
        <w:t xml:space="preserve"> zawarte są następujące komponenty aplikacyjne:</w:t>
      </w:r>
    </w:p>
    <w:p w14:paraId="1E3B404E" w14:textId="3743AF59" w:rsidR="00662E2D" w:rsidRPr="004E4AA7" w:rsidRDefault="00662E2D" w:rsidP="000D3B07">
      <w:pPr>
        <w:pStyle w:val="Legenda"/>
        <w:spacing w:before="120" w:after="120"/>
        <w:rPr>
          <w:rFonts w:ascii="Times New Roman" w:hAnsi="Times New Roman"/>
          <w:sz w:val="20"/>
        </w:rPr>
      </w:pPr>
      <w:bookmarkStart w:id="91" w:name="_Toc115598796"/>
      <w:r w:rsidRPr="004E4AA7">
        <w:rPr>
          <w:rFonts w:ascii="Times New Roman" w:hAnsi="Times New Roman"/>
          <w:sz w:val="20"/>
        </w:rPr>
        <w:t xml:space="preserve">Tabela </w:t>
      </w:r>
      <w:r w:rsidR="00BA3750" w:rsidRPr="004E4AA7">
        <w:rPr>
          <w:rFonts w:ascii="Times New Roman" w:hAnsi="Times New Roman"/>
          <w:sz w:val="20"/>
        </w:rPr>
        <w:t xml:space="preserve">3 </w:t>
      </w:r>
      <w:r w:rsidRPr="004E4AA7">
        <w:rPr>
          <w:rFonts w:ascii="Times New Roman" w:hAnsi="Times New Roman"/>
          <w:sz w:val="20"/>
        </w:rPr>
        <w:t>- Komponenty podsystemu Elektroniczne Skrzynki Podawcze i Doręczeń</w:t>
      </w:r>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0F6837A0"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21EB2F2"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EC3DA1C"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A93491A"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D5F4002" w14:textId="77777777" w:rsidTr="00BB6EDE">
        <w:trPr>
          <w:cantSplit/>
          <w:trHeight w:val="284"/>
          <w:tblHeader/>
          <w:jc w:val="center"/>
        </w:trPr>
        <w:tc>
          <w:tcPr>
            <w:tcW w:w="5670" w:type="dxa"/>
            <w:vAlign w:val="center"/>
          </w:tcPr>
          <w:p w14:paraId="2C2AAC0D" w14:textId="77777777" w:rsidR="00662E2D" w:rsidRPr="004E4AA7" w:rsidRDefault="00662E2D" w:rsidP="000D3B07">
            <w:pPr>
              <w:spacing w:before="120" w:after="120"/>
              <w:rPr>
                <w:sz w:val="20"/>
                <w:szCs w:val="20"/>
              </w:rPr>
            </w:pPr>
            <w:r w:rsidRPr="004E4AA7">
              <w:rPr>
                <w:color w:val="000000"/>
                <w:sz w:val="20"/>
                <w:szCs w:val="20"/>
              </w:rPr>
              <w:t>Elektroniczne Skrzynki Podawcze i Doręczeń</w:t>
            </w:r>
          </w:p>
        </w:tc>
        <w:tc>
          <w:tcPr>
            <w:tcW w:w="1415" w:type="dxa"/>
            <w:vAlign w:val="center"/>
          </w:tcPr>
          <w:p w14:paraId="7C1727AA"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1F59A6C3" w14:textId="77777777" w:rsidR="00662E2D" w:rsidRPr="004E4AA7" w:rsidRDefault="00662E2D" w:rsidP="000D3B07">
            <w:pPr>
              <w:spacing w:before="120" w:after="120"/>
              <w:rPr>
                <w:sz w:val="20"/>
                <w:szCs w:val="20"/>
              </w:rPr>
            </w:pPr>
            <w:r w:rsidRPr="004E4AA7">
              <w:rPr>
                <w:color w:val="000000"/>
                <w:sz w:val="20"/>
                <w:szCs w:val="20"/>
              </w:rPr>
              <w:t>espid-api</w:t>
            </w:r>
          </w:p>
        </w:tc>
      </w:tr>
      <w:tr w:rsidR="00662E2D" w:rsidRPr="004E4AA7" w14:paraId="1DE971DF" w14:textId="77777777" w:rsidTr="00BB6EDE">
        <w:trPr>
          <w:cantSplit/>
          <w:trHeight w:val="284"/>
          <w:tblHeader/>
          <w:jc w:val="center"/>
        </w:trPr>
        <w:tc>
          <w:tcPr>
            <w:tcW w:w="5670" w:type="dxa"/>
            <w:vAlign w:val="center"/>
          </w:tcPr>
          <w:p w14:paraId="5A277D45" w14:textId="77777777" w:rsidR="00662E2D" w:rsidRPr="004E4AA7" w:rsidRDefault="00662E2D" w:rsidP="000D3B07">
            <w:pPr>
              <w:spacing w:before="120" w:after="120"/>
              <w:rPr>
                <w:sz w:val="20"/>
                <w:szCs w:val="20"/>
              </w:rPr>
            </w:pPr>
            <w:r w:rsidRPr="004E4AA7">
              <w:rPr>
                <w:color w:val="000000"/>
                <w:sz w:val="20"/>
                <w:szCs w:val="20"/>
              </w:rPr>
              <w:t xml:space="preserve">Interfejs użytkownika dla Elektronicznej Skrzynki Podawczej </w:t>
            </w:r>
            <w:r w:rsidRPr="004E4AA7">
              <w:rPr>
                <w:color w:val="000000"/>
                <w:sz w:val="20"/>
                <w:szCs w:val="20"/>
              </w:rPr>
              <w:br/>
              <w:t>i Doręczeń</w:t>
            </w:r>
          </w:p>
        </w:tc>
        <w:tc>
          <w:tcPr>
            <w:tcW w:w="1415" w:type="dxa"/>
            <w:vAlign w:val="center"/>
          </w:tcPr>
          <w:p w14:paraId="37FD932A" w14:textId="77777777" w:rsidR="00662E2D" w:rsidRPr="004E4AA7" w:rsidRDefault="00662E2D" w:rsidP="000D3B07">
            <w:pPr>
              <w:spacing w:before="120" w:after="120"/>
              <w:rPr>
                <w:sz w:val="20"/>
                <w:szCs w:val="20"/>
              </w:rPr>
            </w:pPr>
            <w:r w:rsidRPr="004E4AA7">
              <w:rPr>
                <w:color w:val="000000"/>
                <w:sz w:val="20"/>
                <w:szCs w:val="20"/>
              </w:rPr>
              <w:t>GUI</w:t>
            </w:r>
          </w:p>
        </w:tc>
        <w:tc>
          <w:tcPr>
            <w:tcW w:w="1977" w:type="dxa"/>
            <w:vAlign w:val="center"/>
          </w:tcPr>
          <w:p w14:paraId="16037698" w14:textId="77777777" w:rsidR="00662E2D" w:rsidRPr="004E4AA7" w:rsidRDefault="00662E2D" w:rsidP="000D3B07">
            <w:pPr>
              <w:spacing w:before="120" w:after="120"/>
              <w:rPr>
                <w:sz w:val="20"/>
                <w:szCs w:val="20"/>
              </w:rPr>
            </w:pPr>
            <w:r w:rsidRPr="004E4AA7">
              <w:rPr>
                <w:color w:val="000000"/>
                <w:sz w:val="20"/>
                <w:szCs w:val="20"/>
              </w:rPr>
              <w:t>espid-gui</w:t>
            </w:r>
          </w:p>
        </w:tc>
      </w:tr>
    </w:tbl>
    <w:p w14:paraId="65179D9E"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92" w:name="_Toc115598564"/>
      <w:bookmarkStart w:id="93" w:name="_Toc134561921"/>
    </w:p>
    <w:p w14:paraId="1FC24AE2" w14:textId="628D62E4" w:rsidR="00662E2D" w:rsidRPr="004E4AA7" w:rsidRDefault="00662E2D">
      <w:pPr>
        <w:pStyle w:val="P1"/>
        <w:numPr>
          <w:ilvl w:val="3"/>
          <w:numId w:val="47"/>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Kancelaria</w:t>
      </w:r>
      <w:bookmarkEnd w:id="92"/>
      <w:bookmarkEnd w:id="93"/>
    </w:p>
    <w:p w14:paraId="7BBF95E4"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Kancelaria</w:t>
      </w:r>
      <w:r w:rsidRPr="004E4AA7">
        <w:rPr>
          <w:sz w:val="20"/>
          <w:szCs w:val="20"/>
        </w:rPr>
        <w:t xml:space="preserve"> zawarte są następujące komponenty aplikacyjne:</w:t>
      </w:r>
    </w:p>
    <w:p w14:paraId="7FE64B34" w14:textId="43EEA214" w:rsidR="00662E2D" w:rsidRPr="004E4AA7" w:rsidRDefault="00662E2D" w:rsidP="000D3B07">
      <w:pPr>
        <w:pStyle w:val="Legenda"/>
        <w:spacing w:before="120" w:after="120"/>
        <w:rPr>
          <w:rFonts w:ascii="Times New Roman" w:hAnsi="Times New Roman"/>
          <w:sz w:val="20"/>
        </w:rPr>
      </w:pPr>
      <w:bookmarkStart w:id="94" w:name="_Toc115598799"/>
      <w:r w:rsidRPr="004E4AA7">
        <w:rPr>
          <w:rFonts w:ascii="Times New Roman" w:hAnsi="Times New Roman"/>
          <w:sz w:val="20"/>
        </w:rPr>
        <w:t xml:space="preserve">Tabela </w:t>
      </w:r>
      <w:r w:rsidR="00BA3750" w:rsidRPr="004E4AA7">
        <w:rPr>
          <w:rFonts w:ascii="Times New Roman" w:hAnsi="Times New Roman"/>
          <w:sz w:val="20"/>
        </w:rPr>
        <w:t>4</w:t>
      </w:r>
      <w:r w:rsidRPr="004E4AA7">
        <w:rPr>
          <w:rFonts w:ascii="Times New Roman" w:hAnsi="Times New Roman"/>
          <w:sz w:val="20"/>
        </w:rPr>
        <w:t xml:space="preserve"> - Komponenty podsystemu Pisma i postanowienia</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985"/>
        <w:gridCol w:w="1979"/>
      </w:tblGrid>
      <w:tr w:rsidR="00662E2D" w:rsidRPr="004E4AA7" w14:paraId="1E4CC237"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0E00200"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98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CB99A6E"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9"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7666566"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1127FB94" w14:textId="77777777" w:rsidTr="00BB6EDE">
        <w:trPr>
          <w:cantSplit/>
          <w:trHeight w:val="284"/>
          <w:tblHeader/>
          <w:jc w:val="center"/>
        </w:trPr>
        <w:tc>
          <w:tcPr>
            <w:tcW w:w="5098" w:type="dxa"/>
            <w:vAlign w:val="center"/>
          </w:tcPr>
          <w:p w14:paraId="01C36863" w14:textId="77777777" w:rsidR="00662E2D" w:rsidRPr="004E4AA7" w:rsidRDefault="00662E2D" w:rsidP="000D3B07">
            <w:pPr>
              <w:spacing w:before="120" w:after="120"/>
              <w:rPr>
                <w:sz w:val="20"/>
                <w:szCs w:val="20"/>
              </w:rPr>
            </w:pPr>
            <w:r w:rsidRPr="004E4AA7">
              <w:rPr>
                <w:color w:val="000000"/>
                <w:sz w:val="20"/>
                <w:szCs w:val="20"/>
              </w:rPr>
              <w:t>Korespondencja</w:t>
            </w:r>
          </w:p>
        </w:tc>
        <w:tc>
          <w:tcPr>
            <w:tcW w:w="1985" w:type="dxa"/>
            <w:vAlign w:val="center"/>
          </w:tcPr>
          <w:p w14:paraId="40885E7A" w14:textId="77777777" w:rsidR="00662E2D" w:rsidRPr="004E4AA7" w:rsidRDefault="00662E2D" w:rsidP="000D3B07">
            <w:pPr>
              <w:spacing w:before="120" w:after="120"/>
              <w:rPr>
                <w:sz w:val="20"/>
                <w:szCs w:val="20"/>
              </w:rPr>
            </w:pPr>
            <w:r w:rsidRPr="004E4AA7">
              <w:rPr>
                <w:color w:val="000000"/>
                <w:sz w:val="20"/>
                <w:szCs w:val="20"/>
              </w:rPr>
              <w:t>Service</w:t>
            </w:r>
          </w:p>
        </w:tc>
        <w:tc>
          <w:tcPr>
            <w:tcW w:w="1979" w:type="dxa"/>
            <w:vAlign w:val="center"/>
          </w:tcPr>
          <w:p w14:paraId="4A9D5739" w14:textId="77777777" w:rsidR="00662E2D" w:rsidRPr="004E4AA7" w:rsidRDefault="00662E2D" w:rsidP="000D3B07">
            <w:pPr>
              <w:spacing w:before="120" w:after="120"/>
              <w:rPr>
                <w:sz w:val="20"/>
                <w:szCs w:val="20"/>
              </w:rPr>
            </w:pPr>
            <w:r w:rsidRPr="004E4AA7">
              <w:rPr>
                <w:color w:val="000000"/>
                <w:sz w:val="20"/>
                <w:szCs w:val="20"/>
              </w:rPr>
              <w:t>krz-kancelaria-api</w:t>
            </w:r>
          </w:p>
        </w:tc>
      </w:tr>
      <w:tr w:rsidR="00662E2D" w:rsidRPr="004E4AA7" w14:paraId="3200AD70" w14:textId="77777777" w:rsidTr="00BB6EDE">
        <w:trPr>
          <w:cantSplit/>
          <w:trHeight w:val="284"/>
          <w:tblHeader/>
          <w:jc w:val="center"/>
        </w:trPr>
        <w:tc>
          <w:tcPr>
            <w:tcW w:w="5098" w:type="dxa"/>
            <w:vAlign w:val="center"/>
          </w:tcPr>
          <w:p w14:paraId="45EB1663" w14:textId="77777777" w:rsidR="00662E2D" w:rsidRPr="004E4AA7" w:rsidRDefault="00662E2D" w:rsidP="000D3B07">
            <w:pPr>
              <w:spacing w:before="120" w:after="120"/>
              <w:rPr>
                <w:sz w:val="20"/>
                <w:szCs w:val="20"/>
              </w:rPr>
            </w:pPr>
            <w:r w:rsidRPr="004E4AA7">
              <w:rPr>
                <w:color w:val="000000"/>
                <w:sz w:val="20"/>
                <w:szCs w:val="20"/>
              </w:rPr>
              <w:t>Obsługa korespondencji</w:t>
            </w:r>
          </w:p>
        </w:tc>
        <w:tc>
          <w:tcPr>
            <w:tcW w:w="1985" w:type="dxa"/>
            <w:vAlign w:val="center"/>
          </w:tcPr>
          <w:p w14:paraId="66C6A197" w14:textId="77777777" w:rsidR="00662E2D" w:rsidRPr="004E4AA7" w:rsidRDefault="00662E2D" w:rsidP="000D3B07">
            <w:pPr>
              <w:spacing w:before="120" w:after="120"/>
              <w:rPr>
                <w:sz w:val="20"/>
                <w:szCs w:val="20"/>
              </w:rPr>
            </w:pPr>
            <w:r w:rsidRPr="004E4AA7">
              <w:rPr>
                <w:color w:val="000000"/>
                <w:sz w:val="20"/>
                <w:szCs w:val="20"/>
              </w:rPr>
              <w:t>GUI</w:t>
            </w:r>
          </w:p>
        </w:tc>
        <w:tc>
          <w:tcPr>
            <w:tcW w:w="1979" w:type="dxa"/>
            <w:vAlign w:val="center"/>
          </w:tcPr>
          <w:p w14:paraId="6D31FE96" w14:textId="77777777" w:rsidR="00662E2D" w:rsidRPr="004E4AA7" w:rsidRDefault="00662E2D" w:rsidP="000D3B07">
            <w:pPr>
              <w:spacing w:before="120" w:after="120"/>
              <w:rPr>
                <w:sz w:val="20"/>
                <w:szCs w:val="20"/>
              </w:rPr>
            </w:pPr>
            <w:r w:rsidRPr="004E4AA7">
              <w:rPr>
                <w:color w:val="000000"/>
                <w:sz w:val="20"/>
                <w:szCs w:val="20"/>
              </w:rPr>
              <w:t>krz-kancelaria-gui</w:t>
            </w:r>
          </w:p>
        </w:tc>
      </w:tr>
      <w:tr w:rsidR="00662E2D" w:rsidRPr="004E4AA7" w14:paraId="3ED9A898" w14:textId="77777777" w:rsidTr="00BB6EDE">
        <w:trPr>
          <w:cantSplit/>
          <w:trHeight w:val="284"/>
          <w:tblHeader/>
          <w:jc w:val="center"/>
        </w:trPr>
        <w:tc>
          <w:tcPr>
            <w:tcW w:w="5098" w:type="dxa"/>
            <w:vAlign w:val="center"/>
          </w:tcPr>
          <w:p w14:paraId="5F0A7FB9" w14:textId="77777777" w:rsidR="00662E2D" w:rsidRPr="004E4AA7" w:rsidRDefault="00662E2D" w:rsidP="000D3B07">
            <w:pPr>
              <w:spacing w:before="120" w:after="120"/>
              <w:rPr>
                <w:color w:val="000000"/>
                <w:sz w:val="20"/>
                <w:szCs w:val="20"/>
              </w:rPr>
            </w:pPr>
            <w:r w:rsidRPr="004E4AA7">
              <w:rPr>
                <w:color w:val="000000"/>
                <w:sz w:val="20"/>
                <w:szCs w:val="20"/>
              </w:rPr>
              <w:t>Korespondencja  - adapter do SCW</w:t>
            </w:r>
          </w:p>
        </w:tc>
        <w:tc>
          <w:tcPr>
            <w:tcW w:w="1985" w:type="dxa"/>
            <w:vAlign w:val="center"/>
          </w:tcPr>
          <w:p w14:paraId="30D2B479"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9" w:type="dxa"/>
            <w:vAlign w:val="center"/>
          </w:tcPr>
          <w:p w14:paraId="1E625EC0" w14:textId="77777777" w:rsidR="00662E2D" w:rsidRPr="004E4AA7" w:rsidRDefault="00662E2D" w:rsidP="000D3B07">
            <w:pPr>
              <w:spacing w:before="120" w:after="120"/>
              <w:rPr>
                <w:color w:val="000000"/>
                <w:sz w:val="20"/>
                <w:szCs w:val="20"/>
              </w:rPr>
            </w:pPr>
            <w:r w:rsidRPr="004E4AA7">
              <w:rPr>
                <w:color w:val="000000"/>
                <w:sz w:val="20"/>
                <w:szCs w:val="20"/>
              </w:rPr>
              <w:t>scw-adapter</w:t>
            </w:r>
          </w:p>
        </w:tc>
      </w:tr>
      <w:tr w:rsidR="00662E2D" w:rsidRPr="004E4AA7" w14:paraId="2FD8CC2D" w14:textId="77777777" w:rsidTr="00BB6EDE">
        <w:trPr>
          <w:cantSplit/>
          <w:trHeight w:val="284"/>
          <w:tblHeader/>
          <w:jc w:val="center"/>
        </w:trPr>
        <w:tc>
          <w:tcPr>
            <w:tcW w:w="5098" w:type="dxa"/>
            <w:vAlign w:val="center"/>
          </w:tcPr>
          <w:p w14:paraId="3F259594" w14:textId="77777777" w:rsidR="00662E2D" w:rsidRPr="004E4AA7" w:rsidRDefault="00662E2D" w:rsidP="000D3B07">
            <w:pPr>
              <w:spacing w:before="120" w:after="120"/>
              <w:rPr>
                <w:color w:val="000000"/>
                <w:sz w:val="20"/>
                <w:szCs w:val="20"/>
              </w:rPr>
            </w:pPr>
            <w:r w:rsidRPr="004E4AA7">
              <w:rPr>
                <w:color w:val="000000"/>
                <w:sz w:val="20"/>
                <w:szCs w:val="20"/>
              </w:rPr>
              <w:t>Korespondencja - adapter do MS EPO</w:t>
            </w:r>
          </w:p>
        </w:tc>
        <w:tc>
          <w:tcPr>
            <w:tcW w:w="1985" w:type="dxa"/>
            <w:vAlign w:val="center"/>
          </w:tcPr>
          <w:p w14:paraId="1FE817C0"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9" w:type="dxa"/>
            <w:vAlign w:val="center"/>
          </w:tcPr>
          <w:p w14:paraId="25E3D115" w14:textId="77777777" w:rsidR="00662E2D" w:rsidRPr="004E4AA7" w:rsidRDefault="00662E2D" w:rsidP="000D3B07">
            <w:pPr>
              <w:spacing w:before="120" w:after="120"/>
              <w:rPr>
                <w:color w:val="000000"/>
                <w:sz w:val="20"/>
                <w:szCs w:val="20"/>
              </w:rPr>
            </w:pPr>
            <w:r w:rsidRPr="004E4AA7">
              <w:rPr>
                <w:color w:val="000000"/>
                <w:sz w:val="20"/>
                <w:szCs w:val="20"/>
              </w:rPr>
              <w:t>msepo-adapter</w:t>
            </w:r>
          </w:p>
        </w:tc>
      </w:tr>
    </w:tbl>
    <w:p w14:paraId="563F95AA"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95" w:name="_Toc115598565"/>
      <w:bookmarkStart w:id="96" w:name="_Toc134561922"/>
    </w:p>
    <w:p w14:paraId="2B1DA102" w14:textId="5606999A" w:rsidR="00662E2D" w:rsidRPr="004E4AA7" w:rsidRDefault="00662E2D">
      <w:pPr>
        <w:pStyle w:val="P1"/>
        <w:numPr>
          <w:ilvl w:val="3"/>
          <w:numId w:val="47"/>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Obsługa umorzonych postępowań egzekucyjnych i świadczeń alimentacyjnych</w:t>
      </w:r>
      <w:bookmarkEnd w:id="95"/>
      <w:bookmarkEnd w:id="96"/>
    </w:p>
    <w:p w14:paraId="2AB68838"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Obsługa umorzonych postępowań egzekucyjnych i świadczeń alimentacyjnych </w:t>
      </w:r>
      <w:r w:rsidRPr="004E4AA7">
        <w:rPr>
          <w:sz w:val="20"/>
          <w:szCs w:val="20"/>
        </w:rPr>
        <w:t>zawarte są następujące komponenty aplikacyjne:</w:t>
      </w:r>
    </w:p>
    <w:p w14:paraId="3794928D" w14:textId="2CF9F93B" w:rsidR="00662E2D" w:rsidRPr="004E4AA7" w:rsidRDefault="00662E2D" w:rsidP="000D3B07">
      <w:pPr>
        <w:pStyle w:val="Legenda"/>
        <w:spacing w:before="120" w:after="120"/>
        <w:rPr>
          <w:rFonts w:ascii="Times New Roman" w:hAnsi="Times New Roman"/>
          <w:sz w:val="20"/>
        </w:rPr>
      </w:pPr>
      <w:bookmarkStart w:id="97" w:name="_Toc115598804"/>
      <w:r w:rsidRPr="004E4AA7">
        <w:rPr>
          <w:rFonts w:ascii="Times New Roman" w:hAnsi="Times New Roman"/>
          <w:sz w:val="20"/>
        </w:rPr>
        <w:t xml:space="preserve">Tabela </w:t>
      </w:r>
      <w:r w:rsidR="00BA3750" w:rsidRPr="004E4AA7">
        <w:rPr>
          <w:rFonts w:ascii="Times New Roman" w:hAnsi="Times New Roman"/>
          <w:sz w:val="20"/>
        </w:rPr>
        <w:t>5</w:t>
      </w:r>
      <w:r w:rsidRPr="004E4AA7">
        <w:rPr>
          <w:rFonts w:ascii="Times New Roman" w:hAnsi="Times New Roman"/>
          <w:sz w:val="20"/>
        </w:rPr>
        <w:t xml:space="preserve"> - Komponenty podsystemu Obsługa umorzonych postępowań egzekucyjnych i świadczeń alimentacyjnych</w:t>
      </w:r>
      <w:bookmarkEnd w:id="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4C507964"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9C70CA1"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43C5B6C" w14:textId="77777777" w:rsidR="00662E2D" w:rsidRPr="004E4AA7" w:rsidRDefault="00662E2D" w:rsidP="00EB4940">
            <w:pPr>
              <w:spacing w:before="120" w:after="120"/>
              <w:rPr>
                <w:b/>
                <w:color w:val="FFFFFF"/>
                <w:sz w:val="20"/>
                <w:szCs w:val="20"/>
              </w:rPr>
            </w:pPr>
            <w:bookmarkStart w:id="98" w:name="_Toc134561923"/>
            <w:r w:rsidRPr="00EB4940">
              <w:rPr>
                <w:b/>
                <w:color w:val="FFFFFF"/>
                <w:sz w:val="20"/>
                <w:szCs w:val="20"/>
              </w:rPr>
              <w:t>Stereotyp</w:t>
            </w:r>
            <w:bookmarkEnd w:id="98"/>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A8C1D64"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5702C0F3" w14:textId="77777777" w:rsidTr="00BB6EDE">
        <w:trPr>
          <w:cantSplit/>
          <w:trHeight w:val="284"/>
          <w:tblHeader/>
          <w:jc w:val="center"/>
        </w:trPr>
        <w:tc>
          <w:tcPr>
            <w:tcW w:w="5670" w:type="dxa"/>
            <w:vAlign w:val="center"/>
          </w:tcPr>
          <w:p w14:paraId="464DD907" w14:textId="77777777" w:rsidR="00662E2D" w:rsidRPr="004E4AA7" w:rsidRDefault="00662E2D" w:rsidP="000D3B07">
            <w:pPr>
              <w:spacing w:before="120" w:after="120"/>
              <w:rPr>
                <w:sz w:val="20"/>
                <w:szCs w:val="20"/>
              </w:rPr>
            </w:pPr>
            <w:r w:rsidRPr="004E4AA7">
              <w:rPr>
                <w:color w:val="000000"/>
                <w:sz w:val="20"/>
                <w:szCs w:val="20"/>
              </w:rPr>
              <w:t>Obsługa postępowań</w:t>
            </w:r>
          </w:p>
        </w:tc>
        <w:tc>
          <w:tcPr>
            <w:tcW w:w="1415" w:type="dxa"/>
            <w:vAlign w:val="center"/>
          </w:tcPr>
          <w:p w14:paraId="338BCA5E" w14:textId="77777777" w:rsidR="00662E2D" w:rsidRPr="004E4AA7" w:rsidRDefault="00662E2D" w:rsidP="000D3B07">
            <w:pPr>
              <w:spacing w:before="120" w:after="120"/>
              <w:rPr>
                <w:sz w:val="20"/>
                <w:szCs w:val="20"/>
              </w:rPr>
            </w:pPr>
            <w:r w:rsidRPr="004E4AA7">
              <w:rPr>
                <w:color w:val="000000"/>
                <w:sz w:val="20"/>
                <w:szCs w:val="20"/>
              </w:rPr>
              <w:t>GUI</w:t>
            </w:r>
          </w:p>
        </w:tc>
        <w:tc>
          <w:tcPr>
            <w:tcW w:w="1977" w:type="dxa"/>
            <w:vAlign w:val="center"/>
          </w:tcPr>
          <w:p w14:paraId="14DF5669" w14:textId="77777777" w:rsidR="00662E2D" w:rsidRPr="004E4AA7" w:rsidRDefault="00662E2D" w:rsidP="000D3B07">
            <w:pPr>
              <w:spacing w:before="120" w:after="120"/>
              <w:rPr>
                <w:sz w:val="20"/>
                <w:szCs w:val="20"/>
              </w:rPr>
            </w:pPr>
            <w:r w:rsidRPr="004E4AA7">
              <w:rPr>
                <w:color w:val="000000"/>
                <w:sz w:val="20"/>
                <w:szCs w:val="20"/>
              </w:rPr>
              <w:t>regz-gui</w:t>
            </w:r>
          </w:p>
        </w:tc>
      </w:tr>
      <w:tr w:rsidR="00662E2D" w:rsidRPr="004E4AA7" w14:paraId="56D813B5" w14:textId="77777777" w:rsidTr="00BB6EDE">
        <w:trPr>
          <w:cantSplit/>
          <w:trHeight w:val="284"/>
          <w:tblHeader/>
          <w:jc w:val="center"/>
        </w:trPr>
        <w:tc>
          <w:tcPr>
            <w:tcW w:w="5670" w:type="dxa"/>
            <w:vAlign w:val="center"/>
          </w:tcPr>
          <w:p w14:paraId="1FB11D12" w14:textId="77777777" w:rsidR="00662E2D" w:rsidRPr="004E4AA7" w:rsidRDefault="00662E2D" w:rsidP="000D3B07">
            <w:pPr>
              <w:spacing w:before="120" w:after="120"/>
              <w:rPr>
                <w:color w:val="000000"/>
                <w:sz w:val="20"/>
                <w:szCs w:val="20"/>
              </w:rPr>
            </w:pPr>
            <w:r w:rsidRPr="004E4AA7">
              <w:rPr>
                <w:color w:val="000000"/>
                <w:sz w:val="20"/>
                <w:szCs w:val="20"/>
              </w:rPr>
              <w:t>API obsługi postępowań</w:t>
            </w:r>
          </w:p>
        </w:tc>
        <w:tc>
          <w:tcPr>
            <w:tcW w:w="1415" w:type="dxa"/>
            <w:vAlign w:val="center"/>
          </w:tcPr>
          <w:p w14:paraId="68B4F981"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01D4AC06" w14:textId="77777777" w:rsidR="00662E2D" w:rsidRPr="004E4AA7" w:rsidRDefault="00662E2D" w:rsidP="000D3B07">
            <w:pPr>
              <w:spacing w:before="120" w:after="120"/>
              <w:rPr>
                <w:color w:val="000000"/>
                <w:sz w:val="20"/>
                <w:szCs w:val="20"/>
              </w:rPr>
            </w:pPr>
            <w:r w:rsidRPr="004E4AA7">
              <w:rPr>
                <w:color w:val="000000"/>
                <w:sz w:val="20"/>
                <w:szCs w:val="20"/>
              </w:rPr>
              <w:t>regz-api</w:t>
            </w:r>
          </w:p>
        </w:tc>
      </w:tr>
    </w:tbl>
    <w:p w14:paraId="7F87DE22"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99" w:name="_Toc61411018"/>
      <w:bookmarkStart w:id="100" w:name="_Toc63186242"/>
      <w:bookmarkStart w:id="101" w:name="_Toc115598566"/>
      <w:bookmarkStart w:id="102" w:name="_Toc134561924"/>
    </w:p>
    <w:p w14:paraId="3A78E312" w14:textId="605D8A19"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Pisma i postanowienia</w:t>
      </w:r>
      <w:bookmarkEnd w:id="99"/>
      <w:bookmarkEnd w:id="100"/>
      <w:bookmarkEnd w:id="101"/>
      <w:bookmarkEnd w:id="102"/>
    </w:p>
    <w:p w14:paraId="4AABEBA0"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Pisma i postępowania</w:t>
      </w:r>
      <w:r w:rsidRPr="004E4AA7">
        <w:rPr>
          <w:sz w:val="20"/>
          <w:szCs w:val="20"/>
        </w:rPr>
        <w:t xml:space="preserve"> zawarte są następujące komponenty aplikacyjne:</w:t>
      </w:r>
    </w:p>
    <w:p w14:paraId="407B3AE8" w14:textId="17A88C22" w:rsidR="00662E2D" w:rsidRPr="004E4AA7" w:rsidRDefault="00662E2D" w:rsidP="000D3B07">
      <w:pPr>
        <w:pStyle w:val="Legenda"/>
        <w:spacing w:before="120" w:after="120"/>
        <w:rPr>
          <w:rFonts w:ascii="Times New Roman" w:hAnsi="Times New Roman"/>
          <w:sz w:val="20"/>
        </w:rPr>
      </w:pPr>
      <w:bookmarkStart w:id="103" w:name="_Toc115598807"/>
      <w:r w:rsidRPr="004E4AA7">
        <w:rPr>
          <w:rFonts w:ascii="Times New Roman" w:hAnsi="Times New Roman"/>
          <w:sz w:val="20"/>
        </w:rPr>
        <w:lastRenderedPageBreak/>
        <w:t xml:space="preserve">Tabela </w:t>
      </w:r>
      <w:r w:rsidR="00B11D4A" w:rsidRPr="004E4AA7">
        <w:rPr>
          <w:rFonts w:ascii="Times New Roman" w:hAnsi="Times New Roman"/>
          <w:sz w:val="20"/>
        </w:rPr>
        <w:t>6</w:t>
      </w:r>
      <w:r w:rsidRPr="004E4AA7">
        <w:rPr>
          <w:rFonts w:ascii="Times New Roman" w:hAnsi="Times New Roman"/>
          <w:sz w:val="20"/>
        </w:rPr>
        <w:t xml:space="preserve"> - Komponenty podsystemu Pisma i postanowienia</w:t>
      </w:r>
      <w:bookmarkEnd w:id="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8"/>
        <w:gridCol w:w="1134"/>
        <w:gridCol w:w="1270"/>
      </w:tblGrid>
      <w:tr w:rsidR="00662E2D" w:rsidRPr="004E4AA7" w14:paraId="1763789E" w14:textId="77777777" w:rsidTr="00BB6EDE">
        <w:trPr>
          <w:cantSplit/>
          <w:trHeight w:val="284"/>
          <w:tblHeader/>
          <w:jc w:val="center"/>
        </w:trPr>
        <w:tc>
          <w:tcPr>
            <w:tcW w:w="665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28FB1B1"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134"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DA0C437"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2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B9467EB"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331E0F13" w14:textId="77777777" w:rsidTr="00BB6EDE">
        <w:trPr>
          <w:cantSplit/>
          <w:trHeight w:val="284"/>
          <w:tblHeader/>
          <w:jc w:val="center"/>
        </w:trPr>
        <w:tc>
          <w:tcPr>
            <w:tcW w:w="6658" w:type="dxa"/>
            <w:vAlign w:val="center"/>
          </w:tcPr>
          <w:p w14:paraId="5E16FB7F" w14:textId="77777777" w:rsidR="00662E2D" w:rsidRPr="004E4AA7" w:rsidRDefault="00662E2D" w:rsidP="000D3B07">
            <w:pPr>
              <w:spacing w:before="120" w:after="120"/>
              <w:rPr>
                <w:sz w:val="20"/>
                <w:szCs w:val="20"/>
              </w:rPr>
            </w:pPr>
            <w:r w:rsidRPr="004E4AA7">
              <w:rPr>
                <w:color w:val="000000"/>
                <w:sz w:val="20"/>
                <w:szCs w:val="20"/>
              </w:rPr>
              <w:t>Komponent tworzenia dokumentów sądowych – postanowień, zarządzeń, obwieszczeń i innych pism – warstwa backend</w:t>
            </w:r>
          </w:p>
        </w:tc>
        <w:tc>
          <w:tcPr>
            <w:tcW w:w="1134" w:type="dxa"/>
            <w:vAlign w:val="center"/>
          </w:tcPr>
          <w:p w14:paraId="32BB1686" w14:textId="77777777" w:rsidR="00662E2D" w:rsidRPr="004E4AA7" w:rsidRDefault="00662E2D" w:rsidP="000D3B07">
            <w:pPr>
              <w:spacing w:before="120" w:after="120"/>
              <w:rPr>
                <w:sz w:val="20"/>
                <w:szCs w:val="20"/>
              </w:rPr>
            </w:pPr>
            <w:r w:rsidRPr="004E4AA7">
              <w:rPr>
                <w:color w:val="000000"/>
                <w:sz w:val="20"/>
                <w:szCs w:val="20"/>
              </w:rPr>
              <w:t>Service</w:t>
            </w:r>
          </w:p>
        </w:tc>
        <w:tc>
          <w:tcPr>
            <w:tcW w:w="1270" w:type="dxa"/>
            <w:vAlign w:val="center"/>
          </w:tcPr>
          <w:p w14:paraId="4E5BCEEC" w14:textId="77777777" w:rsidR="00662E2D" w:rsidRPr="004E4AA7" w:rsidRDefault="00662E2D" w:rsidP="000D3B07">
            <w:pPr>
              <w:spacing w:before="120" w:after="120"/>
              <w:rPr>
                <w:sz w:val="20"/>
                <w:szCs w:val="20"/>
              </w:rPr>
            </w:pPr>
            <w:bookmarkStart w:id="104" w:name="_Hlk63180518"/>
            <w:r w:rsidRPr="004E4AA7">
              <w:rPr>
                <w:color w:val="000000"/>
                <w:sz w:val="20"/>
                <w:szCs w:val="20"/>
              </w:rPr>
              <w:t>krz-dok-api</w:t>
            </w:r>
            <w:bookmarkEnd w:id="104"/>
          </w:p>
        </w:tc>
      </w:tr>
      <w:tr w:rsidR="00662E2D" w:rsidRPr="004E4AA7" w14:paraId="3BC45C17" w14:textId="77777777" w:rsidTr="00BB6EDE">
        <w:trPr>
          <w:cantSplit/>
          <w:trHeight w:val="284"/>
          <w:tblHeader/>
          <w:jc w:val="center"/>
        </w:trPr>
        <w:tc>
          <w:tcPr>
            <w:tcW w:w="6658" w:type="dxa"/>
            <w:vAlign w:val="center"/>
          </w:tcPr>
          <w:p w14:paraId="23350F7D" w14:textId="77777777" w:rsidR="00662E2D" w:rsidRPr="004E4AA7" w:rsidRDefault="00662E2D" w:rsidP="000D3B07">
            <w:pPr>
              <w:spacing w:before="120" w:after="120"/>
              <w:rPr>
                <w:sz w:val="20"/>
                <w:szCs w:val="20"/>
              </w:rPr>
            </w:pPr>
            <w:r w:rsidRPr="004E4AA7">
              <w:rPr>
                <w:color w:val="000000"/>
                <w:sz w:val="20"/>
                <w:szCs w:val="20"/>
              </w:rPr>
              <w:t>Komponent prowadzenia postępowań sądowych – warstwa interfejsu użytkownika</w:t>
            </w:r>
          </w:p>
        </w:tc>
        <w:tc>
          <w:tcPr>
            <w:tcW w:w="1134" w:type="dxa"/>
            <w:vAlign w:val="center"/>
          </w:tcPr>
          <w:p w14:paraId="45A0021B" w14:textId="77777777" w:rsidR="00662E2D" w:rsidRPr="004E4AA7" w:rsidRDefault="00662E2D" w:rsidP="000D3B07">
            <w:pPr>
              <w:spacing w:before="120" w:after="120"/>
              <w:rPr>
                <w:sz w:val="20"/>
                <w:szCs w:val="20"/>
              </w:rPr>
            </w:pPr>
            <w:r w:rsidRPr="004E4AA7">
              <w:rPr>
                <w:color w:val="000000"/>
                <w:sz w:val="20"/>
                <w:szCs w:val="20"/>
              </w:rPr>
              <w:t>GUI</w:t>
            </w:r>
          </w:p>
        </w:tc>
        <w:tc>
          <w:tcPr>
            <w:tcW w:w="1270" w:type="dxa"/>
            <w:vAlign w:val="center"/>
          </w:tcPr>
          <w:p w14:paraId="267D9B87" w14:textId="77777777" w:rsidR="00662E2D" w:rsidRPr="004E4AA7" w:rsidRDefault="00662E2D" w:rsidP="000D3B07">
            <w:pPr>
              <w:spacing w:before="120" w:after="120"/>
              <w:rPr>
                <w:sz w:val="20"/>
                <w:szCs w:val="20"/>
              </w:rPr>
            </w:pPr>
            <w:r w:rsidRPr="004E4AA7">
              <w:rPr>
                <w:color w:val="000000"/>
                <w:sz w:val="20"/>
                <w:szCs w:val="20"/>
              </w:rPr>
              <w:t>krz-dok-gui</w:t>
            </w:r>
          </w:p>
        </w:tc>
      </w:tr>
    </w:tbl>
    <w:p w14:paraId="33C0F4C9"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05" w:name="_Toc61411021"/>
      <w:bookmarkStart w:id="106" w:name="_Toc63186245"/>
      <w:bookmarkStart w:id="107" w:name="_Toc115598567"/>
      <w:bookmarkStart w:id="108" w:name="_Toc134561925"/>
    </w:p>
    <w:p w14:paraId="770DB438" w14:textId="1A61C4A0"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Portal publiczny</w:t>
      </w:r>
      <w:bookmarkEnd w:id="105"/>
      <w:bookmarkEnd w:id="106"/>
      <w:bookmarkEnd w:id="107"/>
      <w:bookmarkEnd w:id="108"/>
    </w:p>
    <w:p w14:paraId="63C7CEB0"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Portal publiczny</w:t>
      </w:r>
      <w:r w:rsidRPr="004E4AA7">
        <w:rPr>
          <w:sz w:val="20"/>
          <w:szCs w:val="20"/>
        </w:rPr>
        <w:t xml:space="preserve"> zawarte są następujące komponenty aplikacyjne:</w:t>
      </w:r>
    </w:p>
    <w:p w14:paraId="03512A01" w14:textId="0F93525C" w:rsidR="00662E2D" w:rsidRPr="004E4AA7" w:rsidRDefault="00662E2D" w:rsidP="000D3B07">
      <w:pPr>
        <w:pStyle w:val="Legenda"/>
        <w:spacing w:before="120" w:after="120"/>
        <w:rPr>
          <w:rFonts w:ascii="Times New Roman" w:hAnsi="Times New Roman"/>
          <w:sz w:val="20"/>
        </w:rPr>
      </w:pPr>
      <w:bookmarkStart w:id="109" w:name="_Toc115598810"/>
      <w:r w:rsidRPr="004E4AA7">
        <w:rPr>
          <w:rFonts w:ascii="Times New Roman" w:hAnsi="Times New Roman"/>
          <w:sz w:val="20"/>
        </w:rPr>
        <w:t xml:space="preserve">Tabela </w:t>
      </w:r>
      <w:r w:rsidR="00B11D4A" w:rsidRPr="004E4AA7">
        <w:rPr>
          <w:rFonts w:ascii="Times New Roman" w:hAnsi="Times New Roman"/>
          <w:sz w:val="20"/>
        </w:rPr>
        <w:t>7</w:t>
      </w:r>
      <w:r w:rsidRPr="004E4AA7">
        <w:rPr>
          <w:rFonts w:ascii="Times New Roman" w:hAnsi="Times New Roman"/>
          <w:sz w:val="20"/>
        </w:rPr>
        <w:t xml:space="preserve"> - Komponenty podsystemu Portal publiczny</w:t>
      </w:r>
      <w:bookmarkEnd w:id="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0A942C9D"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BC529B3"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5DDA0DB"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1270C076"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202EC1D6" w14:textId="77777777" w:rsidTr="00BB6EDE">
        <w:trPr>
          <w:cantSplit/>
          <w:trHeight w:val="284"/>
          <w:tblHeader/>
          <w:jc w:val="center"/>
        </w:trPr>
        <w:tc>
          <w:tcPr>
            <w:tcW w:w="5098" w:type="dxa"/>
            <w:vAlign w:val="bottom"/>
          </w:tcPr>
          <w:p w14:paraId="718029EC" w14:textId="77777777" w:rsidR="00662E2D" w:rsidRPr="004E4AA7" w:rsidRDefault="00662E2D" w:rsidP="000D3B07">
            <w:pPr>
              <w:spacing w:before="120" w:after="120"/>
              <w:rPr>
                <w:sz w:val="20"/>
                <w:szCs w:val="20"/>
              </w:rPr>
            </w:pPr>
            <w:r w:rsidRPr="004E4AA7">
              <w:rPr>
                <w:color w:val="000000"/>
                <w:sz w:val="20"/>
                <w:szCs w:val="20"/>
              </w:rPr>
              <w:t>Konfiguracja Portalu Publicznego</w:t>
            </w:r>
          </w:p>
        </w:tc>
        <w:tc>
          <w:tcPr>
            <w:tcW w:w="1560" w:type="dxa"/>
            <w:vAlign w:val="bottom"/>
          </w:tcPr>
          <w:p w14:paraId="5CD526FD"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bottom"/>
          </w:tcPr>
          <w:p w14:paraId="7845933F" w14:textId="77777777" w:rsidR="00662E2D" w:rsidRPr="004E4AA7" w:rsidRDefault="00662E2D" w:rsidP="000D3B07">
            <w:pPr>
              <w:spacing w:before="120" w:after="120"/>
              <w:rPr>
                <w:sz w:val="20"/>
                <w:szCs w:val="20"/>
              </w:rPr>
            </w:pPr>
            <w:r w:rsidRPr="004E4AA7">
              <w:rPr>
                <w:color w:val="000000"/>
                <w:sz w:val="20"/>
                <w:szCs w:val="20"/>
              </w:rPr>
              <w:t>krz-portalpub-gui</w:t>
            </w:r>
          </w:p>
        </w:tc>
      </w:tr>
      <w:tr w:rsidR="00662E2D" w:rsidRPr="004E4AA7" w14:paraId="4BE2BE5D" w14:textId="77777777" w:rsidTr="00BB6EDE">
        <w:trPr>
          <w:cantSplit/>
          <w:trHeight w:val="284"/>
          <w:tblHeader/>
          <w:jc w:val="center"/>
        </w:trPr>
        <w:tc>
          <w:tcPr>
            <w:tcW w:w="5098" w:type="dxa"/>
            <w:vAlign w:val="center"/>
          </w:tcPr>
          <w:p w14:paraId="3CCF0296" w14:textId="77777777" w:rsidR="00662E2D" w:rsidRPr="004E4AA7" w:rsidRDefault="00662E2D" w:rsidP="000D3B07">
            <w:pPr>
              <w:spacing w:before="120" w:after="120"/>
              <w:rPr>
                <w:sz w:val="20"/>
                <w:szCs w:val="20"/>
              </w:rPr>
            </w:pPr>
            <w:r w:rsidRPr="004E4AA7">
              <w:rPr>
                <w:color w:val="000000"/>
                <w:sz w:val="20"/>
                <w:szCs w:val="20"/>
              </w:rPr>
              <w:t>Usługi przekierowania http dla ekranów Portalu Publicznego</w:t>
            </w:r>
          </w:p>
        </w:tc>
        <w:tc>
          <w:tcPr>
            <w:tcW w:w="1560" w:type="dxa"/>
            <w:vAlign w:val="center"/>
          </w:tcPr>
          <w:p w14:paraId="6CA31825"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47E2339C" w14:textId="77777777" w:rsidR="00662E2D" w:rsidRPr="004E4AA7" w:rsidRDefault="00662E2D" w:rsidP="000D3B07">
            <w:pPr>
              <w:spacing w:before="120" w:after="120"/>
              <w:rPr>
                <w:sz w:val="20"/>
                <w:szCs w:val="20"/>
              </w:rPr>
            </w:pPr>
            <w:r w:rsidRPr="004E4AA7">
              <w:rPr>
                <w:color w:val="000000"/>
                <w:sz w:val="20"/>
                <w:szCs w:val="20"/>
              </w:rPr>
              <w:t>krz-portalpub-redirect</w:t>
            </w:r>
          </w:p>
        </w:tc>
      </w:tr>
    </w:tbl>
    <w:p w14:paraId="792444CB"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10" w:name="_Toc112652597"/>
      <w:bookmarkStart w:id="111" w:name="_Toc112661238"/>
      <w:bookmarkStart w:id="112" w:name="_Toc112661473"/>
      <w:bookmarkStart w:id="113" w:name="_Toc115416370"/>
      <w:bookmarkStart w:id="114" w:name="_Toc115424407"/>
      <w:bookmarkStart w:id="115" w:name="_Toc115598220"/>
      <w:bookmarkStart w:id="116" w:name="_Toc115598568"/>
      <w:bookmarkStart w:id="117" w:name="_Toc115598589"/>
      <w:bookmarkStart w:id="118" w:name="_Toc134561926"/>
      <w:bookmarkEnd w:id="110"/>
      <w:bookmarkEnd w:id="111"/>
      <w:bookmarkEnd w:id="112"/>
      <w:bookmarkEnd w:id="113"/>
      <w:bookmarkEnd w:id="114"/>
      <w:bookmarkEnd w:id="115"/>
      <w:bookmarkEnd w:id="116"/>
    </w:p>
    <w:p w14:paraId="54ADD5B1" w14:textId="0C7B8183"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Rejestr publiczny</w:t>
      </w:r>
      <w:bookmarkEnd w:id="117"/>
      <w:bookmarkEnd w:id="118"/>
    </w:p>
    <w:p w14:paraId="2BEBD453"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Rejestr publiczny</w:t>
      </w:r>
      <w:r w:rsidRPr="004E4AA7">
        <w:rPr>
          <w:sz w:val="20"/>
          <w:szCs w:val="20"/>
        </w:rPr>
        <w:t xml:space="preserve"> zawarte są następujące komponenty aplikacyjne:</w:t>
      </w:r>
    </w:p>
    <w:p w14:paraId="113D32A5" w14:textId="0C88CCF5" w:rsidR="00662E2D" w:rsidRPr="004E4AA7" w:rsidRDefault="00662E2D" w:rsidP="000D3B07">
      <w:pPr>
        <w:pStyle w:val="Legenda"/>
        <w:spacing w:before="120" w:after="120"/>
        <w:rPr>
          <w:rFonts w:ascii="Times New Roman" w:hAnsi="Times New Roman"/>
          <w:sz w:val="20"/>
        </w:rPr>
      </w:pPr>
      <w:bookmarkStart w:id="119" w:name="_Toc115598813"/>
      <w:r w:rsidRPr="004E4AA7">
        <w:rPr>
          <w:rFonts w:ascii="Times New Roman" w:hAnsi="Times New Roman"/>
          <w:sz w:val="20"/>
        </w:rPr>
        <w:t xml:space="preserve">Tabela </w:t>
      </w:r>
      <w:r w:rsidR="00B11D4A" w:rsidRPr="004E4AA7">
        <w:rPr>
          <w:rFonts w:ascii="Times New Roman" w:hAnsi="Times New Roman"/>
          <w:sz w:val="20"/>
        </w:rPr>
        <w:t>8</w:t>
      </w:r>
      <w:r w:rsidRPr="004E4AA7">
        <w:rPr>
          <w:rFonts w:ascii="Times New Roman" w:hAnsi="Times New Roman"/>
          <w:sz w:val="20"/>
        </w:rPr>
        <w:t xml:space="preserve"> - Komponenty podsystemu Rejestr publiczny</w:t>
      </w:r>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792F1B61"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3CCAA25"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DA85537"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DD9D78E"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1087E6DA" w14:textId="77777777" w:rsidTr="00BB6EDE">
        <w:trPr>
          <w:cantSplit/>
          <w:trHeight w:val="284"/>
          <w:tblHeader/>
          <w:jc w:val="center"/>
        </w:trPr>
        <w:tc>
          <w:tcPr>
            <w:tcW w:w="5098" w:type="dxa"/>
            <w:vAlign w:val="bottom"/>
          </w:tcPr>
          <w:p w14:paraId="1F3A4C4E" w14:textId="77777777" w:rsidR="00662E2D" w:rsidRPr="004E4AA7" w:rsidRDefault="00662E2D" w:rsidP="000D3B07">
            <w:pPr>
              <w:spacing w:before="120" w:after="120"/>
              <w:rPr>
                <w:sz w:val="20"/>
                <w:szCs w:val="20"/>
              </w:rPr>
            </w:pPr>
            <w:r w:rsidRPr="004E4AA7">
              <w:rPr>
                <w:color w:val="000000"/>
                <w:sz w:val="20"/>
                <w:szCs w:val="20"/>
              </w:rPr>
              <w:t>Zapytania do rejestru publicznego</w:t>
            </w:r>
          </w:p>
        </w:tc>
        <w:tc>
          <w:tcPr>
            <w:tcW w:w="1560" w:type="dxa"/>
            <w:vAlign w:val="bottom"/>
          </w:tcPr>
          <w:p w14:paraId="1A8E0DC0"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bottom"/>
          </w:tcPr>
          <w:p w14:paraId="56B2482E" w14:textId="77777777" w:rsidR="00662E2D" w:rsidRPr="004E4AA7" w:rsidRDefault="00662E2D" w:rsidP="000D3B07">
            <w:pPr>
              <w:spacing w:before="120" w:after="120"/>
              <w:rPr>
                <w:sz w:val="20"/>
                <w:szCs w:val="20"/>
              </w:rPr>
            </w:pPr>
            <w:r w:rsidRPr="004E4AA7">
              <w:rPr>
                <w:color w:val="000000"/>
                <w:sz w:val="20"/>
                <w:szCs w:val="20"/>
              </w:rPr>
              <w:t>krz-rejpub-api</w:t>
            </w:r>
          </w:p>
        </w:tc>
      </w:tr>
      <w:tr w:rsidR="00662E2D" w:rsidRPr="004E4AA7" w14:paraId="37ADA04A" w14:textId="77777777" w:rsidTr="00BB6EDE">
        <w:trPr>
          <w:cantSplit/>
          <w:trHeight w:val="284"/>
          <w:tblHeader/>
          <w:jc w:val="center"/>
        </w:trPr>
        <w:tc>
          <w:tcPr>
            <w:tcW w:w="5098" w:type="dxa"/>
            <w:vAlign w:val="center"/>
          </w:tcPr>
          <w:p w14:paraId="48B00061" w14:textId="77777777" w:rsidR="00662E2D" w:rsidRPr="004E4AA7" w:rsidRDefault="00662E2D" w:rsidP="000D3B07">
            <w:pPr>
              <w:spacing w:before="120" w:after="120"/>
              <w:rPr>
                <w:sz w:val="20"/>
                <w:szCs w:val="20"/>
              </w:rPr>
            </w:pPr>
            <w:r w:rsidRPr="004E4AA7">
              <w:rPr>
                <w:color w:val="000000"/>
                <w:sz w:val="20"/>
                <w:szCs w:val="20"/>
              </w:rPr>
              <w:t>Zasilanie rejestru publicznego</w:t>
            </w:r>
          </w:p>
        </w:tc>
        <w:tc>
          <w:tcPr>
            <w:tcW w:w="1560" w:type="dxa"/>
            <w:vAlign w:val="center"/>
          </w:tcPr>
          <w:p w14:paraId="230B5225"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045B252B" w14:textId="77777777" w:rsidR="00662E2D" w:rsidRPr="004E4AA7" w:rsidRDefault="00662E2D" w:rsidP="000D3B07">
            <w:pPr>
              <w:spacing w:before="120" w:after="120"/>
              <w:rPr>
                <w:sz w:val="20"/>
                <w:szCs w:val="20"/>
              </w:rPr>
            </w:pPr>
            <w:r w:rsidRPr="004E4AA7">
              <w:rPr>
                <w:color w:val="000000"/>
                <w:sz w:val="20"/>
                <w:szCs w:val="20"/>
              </w:rPr>
              <w:t>krz-rejpub-boost-api</w:t>
            </w:r>
          </w:p>
        </w:tc>
      </w:tr>
      <w:tr w:rsidR="00662E2D" w:rsidRPr="004E4AA7" w14:paraId="1982524B" w14:textId="77777777" w:rsidTr="00BB6EDE">
        <w:trPr>
          <w:cantSplit/>
          <w:trHeight w:val="284"/>
          <w:tblHeader/>
          <w:jc w:val="center"/>
        </w:trPr>
        <w:tc>
          <w:tcPr>
            <w:tcW w:w="5098" w:type="dxa"/>
            <w:vAlign w:val="center"/>
          </w:tcPr>
          <w:p w14:paraId="1AEAFD2B" w14:textId="77777777" w:rsidR="00662E2D" w:rsidRPr="004E4AA7" w:rsidRDefault="00662E2D" w:rsidP="000D3B07">
            <w:pPr>
              <w:spacing w:before="120" w:after="120"/>
              <w:rPr>
                <w:sz w:val="20"/>
                <w:szCs w:val="20"/>
              </w:rPr>
            </w:pPr>
            <w:r w:rsidRPr="004E4AA7">
              <w:rPr>
                <w:color w:val="000000"/>
                <w:sz w:val="20"/>
                <w:szCs w:val="20"/>
              </w:rPr>
              <w:t>Przeglądanie rejestru publicznego</w:t>
            </w:r>
          </w:p>
        </w:tc>
        <w:tc>
          <w:tcPr>
            <w:tcW w:w="1560" w:type="dxa"/>
            <w:vAlign w:val="center"/>
          </w:tcPr>
          <w:p w14:paraId="43FF1CA2"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2CFA4DAB" w14:textId="77777777" w:rsidR="00662E2D" w:rsidRPr="004E4AA7" w:rsidRDefault="00662E2D" w:rsidP="000D3B07">
            <w:pPr>
              <w:spacing w:before="120" w:after="120"/>
              <w:rPr>
                <w:sz w:val="20"/>
                <w:szCs w:val="20"/>
              </w:rPr>
            </w:pPr>
            <w:r w:rsidRPr="004E4AA7">
              <w:rPr>
                <w:color w:val="000000"/>
                <w:sz w:val="20"/>
                <w:szCs w:val="20"/>
              </w:rPr>
              <w:t>krz-rejpub-gui</w:t>
            </w:r>
          </w:p>
        </w:tc>
      </w:tr>
      <w:tr w:rsidR="00662E2D" w:rsidRPr="004E4AA7" w14:paraId="0FE656A8" w14:textId="77777777" w:rsidTr="00BB6EDE">
        <w:trPr>
          <w:cantSplit/>
          <w:trHeight w:val="284"/>
          <w:tblHeader/>
          <w:jc w:val="center"/>
        </w:trPr>
        <w:tc>
          <w:tcPr>
            <w:tcW w:w="5098" w:type="dxa"/>
            <w:vAlign w:val="center"/>
          </w:tcPr>
          <w:p w14:paraId="379BD16D" w14:textId="77777777" w:rsidR="00662E2D" w:rsidRPr="004E4AA7" w:rsidRDefault="00662E2D" w:rsidP="000D3B07">
            <w:pPr>
              <w:spacing w:before="120" w:after="120"/>
              <w:rPr>
                <w:color w:val="000000"/>
                <w:sz w:val="20"/>
                <w:szCs w:val="20"/>
              </w:rPr>
            </w:pPr>
            <w:r w:rsidRPr="004E4AA7">
              <w:rPr>
                <w:color w:val="000000"/>
                <w:sz w:val="20"/>
                <w:szCs w:val="20"/>
              </w:rPr>
              <w:t>Adapter do systemu e-Justice</w:t>
            </w:r>
          </w:p>
        </w:tc>
        <w:tc>
          <w:tcPr>
            <w:tcW w:w="1560" w:type="dxa"/>
            <w:vAlign w:val="center"/>
          </w:tcPr>
          <w:p w14:paraId="6FBE15B1"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6A5311FF" w14:textId="77777777" w:rsidR="00662E2D" w:rsidRPr="004E4AA7" w:rsidRDefault="00662E2D" w:rsidP="000D3B07">
            <w:pPr>
              <w:spacing w:before="120" w:after="120"/>
              <w:rPr>
                <w:color w:val="000000"/>
                <w:sz w:val="20"/>
                <w:szCs w:val="20"/>
              </w:rPr>
            </w:pPr>
            <w:r w:rsidRPr="004E4AA7">
              <w:rPr>
                <w:color w:val="000000"/>
                <w:sz w:val="20"/>
                <w:szCs w:val="20"/>
              </w:rPr>
              <w:t>krz-rejpub-ejustice-api</w:t>
            </w:r>
          </w:p>
        </w:tc>
      </w:tr>
    </w:tbl>
    <w:p w14:paraId="0CA8D1E4"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20" w:name="_Toc115598590"/>
      <w:bookmarkStart w:id="121" w:name="_Toc134561927"/>
    </w:p>
    <w:p w14:paraId="1297178B" w14:textId="7F702783"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Powiadomienia</w:t>
      </w:r>
      <w:bookmarkEnd w:id="120"/>
      <w:bookmarkEnd w:id="121"/>
    </w:p>
    <w:p w14:paraId="496EDEED"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Powiadomienia </w:t>
      </w:r>
      <w:r w:rsidRPr="004E4AA7">
        <w:rPr>
          <w:sz w:val="20"/>
          <w:szCs w:val="20"/>
        </w:rPr>
        <w:t>zawarte są następujące komponenty aplikacyjne:</w:t>
      </w:r>
    </w:p>
    <w:p w14:paraId="3D6B031D" w14:textId="5C06AC07" w:rsidR="00662E2D" w:rsidRPr="004E4AA7" w:rsidRDefault="00662E2D" w:rsidP="000D3B07">
      <w:pPr>
        <w:pStyle w:val="Legenda"/>
        <w:spacing w:before="120" w:after="120"/>
        <w:rPr>
          <w:rFonts w:ascii="Times New Roman" w:hAnsi="Times New Roman"/>
          <w:sz w:val="20"/>
        </w:rPr>
      </w:pPr>
      <w:bookmarkStart w:id="122" w:name="_Toc115598817"/>
      <w:r w:rsidRPr="004E4AA7">
        <w:rPr>
          <w:rFonts w:ascii="Times New Roman" w:hAnsi="Times New Roman"/>
          <w:sz w:val="20"/>
        </w:rPr>
        <w:t xml:space="preserve">Tabela </w:t>
      </w:r>
      <w:r w:rsidR="00B11D4A" w:rsidRPr="004E4AA7">
        <w:rPr>
          <w:rFonts w:ascii="Times New Roman" w:hAnsi="Times New Roman"/>
          <w:sz w:val="20"/>
        </w:rPr>
        <w:t>9</w:t>
      </w:r>
      <w:r w:rsidRPr="004E4AA7">
        <w:rPr>
          <w:rFonts w:ascii="Times New Roman" w:hAnsi="Times New Roman"/>
          <w:sz w:val="20"/>
        </w:rPr>
        <w:t xml:space="preserve"> - Komponenty podsystemu Powiadomienia</w:t>
      </w:r>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005ED4A8"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D634148"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3CC4783"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EE05D0E"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831ED54" w14:textId="77777777" w:rsidTr="00BB6EDE">
        <w:trPr>
          <w:cantSplit/>
          <w:trHeight w:val="284"/>
          <w:tblHeader/>
          <w:jc w:val="center"/>
        </w:trPr>
        <w:tc>
          <w:tcPr>
            <w:tcW w:w="5670" w:type="dxa"/>
            <w:vAlign w:val="center"/>
          </w:tcPr>
          <w:p w14:paraId="5110DA2B" w14:textId="77777777" w:rsidR="00662E2D" w:rsidRPr="004E4AA7" w:rsidRDefault="00662E2D" w:rsidP="000D3B07">
            <w:pPr>
              <w:spacing w:before="120" w:after="120"/>
              <w:rPr>
                <w:sz w:val="20"/>
                <w:szCs w:val="20"/>
              </w:rPr>
            </w:pPr>
            <w:r w:rsidRPr="004E4AA7">
              <w:rPr>
                <w:color w:val="000000"/>
                <w:sz w:val="20"/>
                <w:szCs w:val="20"/>
              </w:rPr>
              <w:t>Bramka e-mail</w:t>
            </w:r>
          </w:p>
        </w:tc>
        <w:tc>
          <w:tcPr>
            <w:tcW w:w="1415" w:type="dxa"/>
            <w:vAlign w:val="center"/>
          </w:tcPr>
          <w:p w14:paraId="0E8E72C0"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09D4EA6C" w14:textId="77777777" w:rsidR="00662E2D" w:rsidRPr="004E4AA7" w:rsidRDefault="00662E2D" w:rsidP="000D3B07">
            <w:pPr>
              <w:spacing w:before="120" w:after="120"/>
              <w:rPr>
                <w:sz w:val="20"/>
                <w:szCs w:val="20"/>
              </w:rPr>
            </w:pPr>
            <w:r w:rsidRPr="004E4AA7">
              <w:rPr>
                <w:color w:val="000000"/>
                <w:sz w:val="20"/>
                <w:szCs w:val="20"/>
              </w:rPr>
              <w:t>mail-adapter</w:t>
            </w:r>
          </w:p>
        </w:tc>
      </w:tr>
      <w:tr w:rsidR="00662E2D" w:rsidRPr="004E4AA7" w14:paraId="201600B8" w14:textId="77777777" w:rsidTr="00BB6EDE">
        <w:trPr>
          <w:cantSplit/>
          <w:trHeight w:val="284"/>
          <w:tblHeader/>
          <w:jc w:val="center"/>
        </w:trPr>
        <w:tc>
          <w:tcPr>
            <w:tcW w:w="5670" w:type="dxa"/>
            <w:vAlign w:val="center"/>
          </w:tcPr>
          <w:p w14:paraId="3E6A7CEB" w14:textId="77777777" w:rsidR="00662E2D" w:rsidRPr="004E4AA7" w:rsidRDefault="00662E2D" w:rsidP="000D3B07">
            <w:pPr>
              <w:spacing w:before="120" w:after="120"/>
              <w:rPr>
                <w:color w:val="000000"/>
                <w:sz w:val="20"/>
                <w:szCs w:val="20"/>
              </w:rPr>
            </w:pPr>
            <w:r w:rsidRPr="004E4AA7">
              <w:rPr>
                <w:color w:val="000000"/>
                <w:sz w:val="20"/>
                <w:szCs w:val="20"/>
              </w:rPr>
              <w:t>API modułu powiadomień</w:t>
            </w:r>
          </w:p>
        </w:tc>
        <w:tc>
          <w:tcPr>
            <w:tcW w:w="1415" w:type="dxa"/>
            <w:vAlign w:val="center"/>
          </w:tcPr>
          <w:p w14:paraId="16470F34"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3F1EEA79" w14:textId="77777777" w:rsidR="00662E2D" w:rsidRPr="004E4AA7" w:rsidRDefault="00662E2D" w:rsidP="000D3B07">
            <w:pPr>
              <w:spacing w:before="120" w:after="120"/>
              <w:rPr>
                <w:color w:val="000000"/>
                <w:sz w:val="20"/>
                <w:szCs w:val="20"/>
              </w:rPr>
            </w:pPr>
            <w:r w:rsidRPr="004E4AA7">
              <w:rPr>
                <w:color w:val="000000"/>
                <w:sz w:val="20"/>
                <w:szCs w:val="20"/>
              </w:rPr>
              <w:t>pow-api</w:t>
            </w:r>
          </w:p>
        </w:tc>
      </w:tr>
    </w:tbl>
    <w:p w14:paraId="72BB37B2"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23" w:name="_Toc61410995"/>
      <w:bookmarkStart w:id="124" w:name="_Toc63186219"/>
      <w:bookmarkStart w:id="125" w:name="_Toc115598591"/>
      <w:bookmarkStart w:id="126" w:name="_Toc134561928"/>
    </w:p>
    <w:p w14:paraId="072667BE" w14:textId="4388D0B3"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Prowadzenie spraw</w:t>
      </w:r>
      <w:bookmarkEnd w:id="123"/>
      <w:bookmarkEnd w:id="124"/>
      <w:bookmarkEnd w:id="125"/>
      <w:bookmarkEnd w:id="126"/>
    </w:p>
    <w:p w14:paraId="67668FC8"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Prowadzenie spraw</w:t>
      </w:r>
      <w:r w:rsidRPr="004E4AA7">
        <w:rPr>
          <w:i/>
          <w:iCs/>
          <w:sz w:val="20"/>
          <w:szCs w:val="20"/>
        </w:rPr>
        <w:t xml:space="preserve"> </w:t>
      </w:r>
      <w:r w:rsidRPr="004E4AA7">
        <w:rPr>
          <w:sz w:val="20"/>
          <w:szCs w:val="20"/>
        </w:rPr>
        <w:t>zawarte są następujące komponenty aplikacyjne:</w:t>
      </w:r>
    </w:p>
    <w:p w14:paraId="64A6C87E" w14:textId="61347D31" w:rsidR="00662E2D" w:rsidRPr="004E4AA7" w:rsidRDefault="00662E2D" w:rsidP="000D3B07">
      <w:pPr>
        <w:pStyle w:val="Legenda"/>
        <w:spacing w:before="120" w:after="120"/>
        <w:rPr>
          <w:rFonts w:ascii="Times New Roman" w:hAnsi="Times New Roman"/>
          <w:sz w:val="20"/>
        </w:rPr>
      </w:pPr>
      <w:bookmarkStart w:id="127" w:name="_Toc115598820"/>
      <w:r w:rsidRPr="004E4AA7">
        <w:rPr>
          <w:rFonts w:ascii="Times New Roman" w:hAnsi="Times New Roman"/>
          <w:sz w:val="20"/>
        </w:rPr>
        <w:lastRenderedPageBreak/>
        <w:t xml:space="preserve">Tabela </w:t>
      </w:r>
      <w:r w:rsidR="00BA3750" w:rsidRPr="004E4AA7">
        <w:rPr>
          <w:rFonts w:ascii="Times New Roman" w:hAnsi="Times New Roman"/>
          <w:sz w:val="20"/>
        </w:rPr>
        <w:t>1</w:t>
      </w:r>
      <w:r w:rsidR="00B11D4A" w:rsidRPr="004E4AA7">
        <w:rPr>
          <w:rFonts w:ascii="Times New Roman" w:hAnsi="Times New Roman"/>
          <w:sz w:val="20"/>
        </w:rPr>
        <w:t>0</w:t>
      </w:r>
      <w:r w:rsidRPr="004E4AA7">
        <w:rPr>
          <w:rFonts w:ascii="Times New Roman" w:hAnsi="Times New Roman"/>
          <w:sz w:val="20"/>
        </w:rPr>
        <w:t xml:space="preserve"> - Komponenty modułu Prowadzenie spraw</w:t>
      </w:r>
      <w:bookmarkEnd w:id="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46762B03"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D6665A2"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C55EC38"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753D744"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12A14C1E" w14:textId="77777777" w:rsidTr="00BB6EDE">
        <w:trPr>
          <w:cantSplit/>
          <w:trHeight w:val="284"/>
          <w:tblHeader/>
          <w:jc w:val="center"/>
        </w:trPr>
        <w:tc>
          <w:tcPr>
            <w:tcW w:w="5670" w:type="dxa"/>
            <w:vAlign w:val="center"/>
          </w:tcPr>
          <w:p w14:paraId="3E5CEDBA" w14:textId="77777777" w:rsidR="00662E2D" w:rsidRPr="004E4AA7" w:rsidRDefault="00662E2D" w:rsidP="000D3B07">
            <w:pPr>
              <w:spacing w:before="120" w:after="120"/>
              <w:rPr>
                <w:color w:val="000000"/>
                <w:sz w:val="20"/>
                <w:szCs w:val="20"/>
              </w:rPr>
            </w:pPr>
            <w:r w:rsidRPr="004E4AA7">
              <w:rPr>
                <w:color w:val="000000"/>
                <w:sz w:val="20"/>
                <w:szCs w:val="20"/>
              </w:rPr>
              <w:t>Komponent obsługujący procesy silnika biznesowego Flowable</w:t>
            </w:r>
          </w:p>
        </w:tc>
        <w:tc>
          <w:tcPr>
            <w:tcW w:w="1415" w:type="dxa"/>
            <w:vAlign w:val="center"/>
          </w:tcPr>
          <w:p w14:paraId="0E18D808"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6A246E1D" w14:textId="77777777" w:rsidR="00662E2D" w:rsidRPr="004E4AA7" w:rsidRDefault="00662E2D" w:rsidP="000D3B07">
            <w:pPr>
              <w:spacing w:before="120" w:after="120"/>
              <w:rPr>
                <w:color w:val="000000"/>
                <w:sz w:val="20"/>
                <w:szCs w:val="20"/>
              </w:rPr>
            </w:pPr>
            <w:r w:rsidRPr="004E4AA7">
              <w:rPr>
                <w:color w:val="000000"/>
                <w:sz w:val="20"/>
                <w:szCs w:val="20"/>
              </w:rPr>
              <w:t>krz-opb-api</w:t>
            </w:r>
          </w:p>
        </w:tc>
      </w:tr>
      <w:tr w:rsidR="00662E2D" w:rsidRPr="004E4AA7" w14:paraId="42D63015" w14:textId="77777777" w:rsidTr="00BB6EDE">
        <w:trPr>
          <w:cantSplit/>
          <w:trHeight w:val="284"/>
          <w:tblHeader/>
          <w:jc w:val="center"/>
        </w:trPr>
        <w:tc>
          <w:tcPr>
            <w:tcW w:w="5670" w:type="dxa"/>
            <w:vAlign w:val="center"/>
          </w:tcPr>
          <w:p w14:paraId="50F1DEDC" w14:textId="77777777" w:rsidR="00662E2D" w:rsidRPr="004E4AA7" w:rsidRDefault="00662E2D" w:rsidP="000D3B07">
            <w:pPr>
              <w:spacing w:before="120" w:after="120"/>
              <w:rPr>
                <w:color w:val="000000"/>
                <w:sz w:val="20"/>
                <w:szCs w:val="20"/>
              </w:rPr>
            </w:pPr>
            <w:r w:rsidRPr="004E4AA7">
              <w:rPr>
                <w:color w:val="000000"/>
                <w:sz w:val="20"/>
                <w:szCs w:val="20"/>
              </w:rPr>
              <w:t>Komponent prowadzenia postępowań sądowych – warstwa backend</w:t>
            </w:r>
          </w:p>
        </w:tc>
        <w:tc>
          <w:tcPr>
            <w:tcW w:w="1415" w:type="dxa"/>
            <w:vAlign w:val="center"/>
          </w:tcPr>
          <w:p w14:paraId="69FF6E18"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072F7633" w14:textId="77777777" w:rsidR="00662E2D" w:rsidRPr="004E4AA7" w:rsidRDefault="00662E2D" w:rsidP="000D3B07">
            <w:pPr>
              <w:spacing w:before="120" w:after="120"/>
              <w:rPr>
                <w:color w:val="000000"/>
                <w:sz w:val="20"/>
                <w:szCs w:val="20"/>
              </w:rPr>
            </w:pPr>
            <w:r w:rsidRPr="004E4AA7">
              <w:rPr>
                <w:color w:val="000000"/>
                <w:sz w:val="20"/>
                <w:szCs w:val="20"/>
              </w:rPr>
              <w:t>krz-spr-api</w:t>
            </w:r>
          </w:p>
        </w:tc>
      </w:tr>
      <w:tr w:rsidR="00662E2D" w:rsidRPr="004E4AA7" w14:paraId="2DEE565D" w14:textId="77777777" w:rsidTr="00BB6EDE">
        <w:trPr>
          <w:cantSplit/>
          <w:trHeight w:val="284"/>
          <w:tblHeader/>
          <w:jc w:val="center"/>
        </w:trPr>
        <w:tc>
          <w:tcPr>
            <w:tcW w:w="5670" w:type="dxa"/>
            <w:vAlign w:val="center"/>
          </w:tcPr>
          <w:p w14:paraId="2DFF8041" w14:textId="77777777" w:rsidR="00662E2D" w:rsidRPr="004E4AA7" w:rsidRDefault="00662E2D" w:rsidP="000D3B07">
            <w:pPr>
              <w:spacing w:before="120" w:after="120"/>
              <w:rPr>
                <w:color w:val="000000"/>
                <w:sz w:val="20"/>
                <w:szCs w:val="20"/>
              </w:rPr>
            </w:pPr>
            <w:r w:rsidRPr="004E4AA7">
              <w:rPr>
                <w:color w:val="000000"/>
                <w:sz w:val="20"/>
                <w:szCs w:val="20"/>
              </w:rPr>
              <w:t>Przeglądanie akt spraw</w:t>
            </w:r>
          </w:p>
        </w:tc>
        <w:tc>
          <w:tcPr>
            <w:tcW w:w="1415" w:type="dxa"/>
            <w:vAlign w:val="center"/>
          </w:tcPr>
          <w:p w14:paraId="3DE8034C"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08D3519B" w14:textId="77777777" w:rsidR="00662E2D" w:rsidRPr="004E4AA7" w:rsidRDefault="00662E2D" w:rsidP="000D3B07">
            <w:pPr>
              <w:spacing w:before="120" w:after="120"/>
              <w:rPr>
                <w:color w:val="000000"/>
                <w:sz w:val="20"/>
                <w:szCs w:val="20"/>
              </w:rPr>
            </w:pPr>
            <w:r w:rsidRPr="004E4AA7">
              <w:rPr>
                <w:color w:val="000000"/>
                <w:sz w:val="20"/>
                <w:szCs w:val="20"/>
              </w:rPr>
              <w:t>krz-spr-gui</w:t>
            </w:r>
          </w:p>
        </w:tc>
      </w:tr>
      <w:tr w:rsidR="00662E2D" w:rsidRPr="004E4AA7" w14:paraId="1501A907" w14:textId="77777777" w:rsidTr="00BB6EDE">
        <w:trPr>
          <w:cantSplit/>
          <w:trHeight w:val="284"/>
          <w:tblHeader/>
          <w:jc w:val="center"/>
        </w:trPr>
        <w:tc>
          <w:tcPr>
            <w:tcW w:w="5670" w:type="dxa"/>
            <w:vAlign w:val="center"/>
          </w:tcPr>
          <w:p w14:paraId="2B740A53" w14:textId="77777777" w:rsidR="00662E2D" w:rsidRPr="004E4AA7" w:rsidRDefault="00662E2D" w:rsidP="000D3B07">
            <w:pPr>
              <w:spacing w:before="120" w:after="120"/>
              <w:rPr>
                <w:color w:val="000000"/>
                <w:sz w:val="20"/>
                <w:szCs w:val="20"/>
              </w:rPr>
            </w:pPr>
            <w:r w:rsidRPr="004E4AA7">
              <w:rPr>
                <w:color w:val="000000"/>
                <w:sz w:val="20"/>
                <w:szCs w:val="20"/>
              </w:rPr>
              <w:t>Odpisy dokumentów i weryfikacja (frontend)</w:t>
            </w:r>
          </w:p>
        </w:tc>
        <w:tc>
          <w:tcPr>
            <w:tcW w:w="1415" w:type="dxa"/>
            <w:vAlign w:val="center"/>
          </w:tcPr>
          <w:p w14:paraId="1DBCD225"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6FD68D8F" w14:textId="77777777" w:rsidR="00662E2D" w:rsidRPr="004E4AA7" w:rsidRDefault="00662E2D" w:rsidP="000D3B07">
            <w:pPr>
              <w:spacing w:before="120" w:after="120"/>
              <w:rPr>
                <w:color w:val="000000"/>
                <w:sz w:val="20"/>
                <w:szCs w:val="20"/>
              </w:rPr>
            </w:pPr>
            <w:r w:rsidRPr="004E4AA7">
              <w:rPr>
                <w:color w:val="000000"/>
                <w:sz w:val="20"/>
                <w:szCs w:val="20"/>
              </w:rPr>
              <w:t>krz-werpub-gui</w:t>
            </w:r>
          </w:p>
        </w:tc>
      </w:tr>
      <w:tr w:rsidR="00662E2D" w:rsidRPr="004E4AA7" w14:paraId="37093E81" w14:textId="77777777" w:rsidTr="00BB6EDE">
        <w:trPr>
          <w:cantSplit/>
          <w:trHeight w:val="284"/>
          <w:tblHeader/>
          <w:jc w:val="center"/>
        </w:trPr>
        <w:tc>
          <w:tcPr>
            <w:tcW w:w="5670" w:type="dxa"/>
            <w:vAlign w:val="center"/>
          </w:tcPr>
          <w:p w14:paraId="7BBE319A" w14:textId="77777777" w:rsidR="00662E2D" w:rsidRPr="004E4AA7" w:rsidRDefault="00662E2D" w:rsidP="000D3B07">
            <w:pPr>
              <w:spacing w:before="120" w:after="120"/>
              <w:rPr>
                <w:color w:val="000000"/>
                <w:sz w:val="20"/>
                <w:szCs w:val="20"/>
              </w:rPr>
            </w:pPr>
            <w:r w:rsidRPr="004E4AA7">
              <w:rPr>
                <w:color w:val="000000"/>
                <w:sz w:val="20"/>
                <w:szCs w:val="20"/>
              </w:rPr>
              <w:t>Odpisy dokumentów i weryfikacja (backend)</w:t>
            </w:r>
          </w:p>
        </w:tc>
        <w:tc>
          <w:tcPr>
            <w:tcW w:w="1415" w:type="dxa"/>
            <w:vAlign w:val="center"/>
          </w:tcPr>
          <w:p w14:paraId="4A81ECC3"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7564CC94" w14:textId="77777777" w:rsidR="00662E2D" w:rsidRPr="004E4AA7" w:rsidRDefault="00662E2D" w:rsidP="000D3B07">
            <w:pPr>
              <w:spacing w:before="120" w:after="120"/>
              <w:rPr>
                <w:color w:val="000000"/>
                <w:sz w:val="20"/>
                <w:szCs w:val="20"/>
              </w:rPr>
            </w:pPr>
            <w:r w:rsidRPr="004E4AA7">
              <w:rPr>
                <w:color w:val="000000"/>
                <w:sz w:val="20"/>
                <w:szCs w:val="20"/>
              </w:rPr>
              <w:t>krz-werpub-api</w:t>
            </w:r>
          </w:p>
        </w:tc>
      </w:tr>
      <w:tr w:rsidR="00662E2D" w:rsidRPr="004E4AA7" w14:paraId="572A22DB" w14:textId="77777777" w:rsidTr="00BB6EDE">
        <w:trPr>
          <w:cantSplit/>
          <w:trHeight w:val="284"/>
          <w:tblHeader/>
          <w:jc w:val="center"/>
        </w:trPr>
        <w:tc>
          <w:tcPr>
            <w:tcW w:w="5670" w:type="dxa"/>
            <w:vAlign w:val="center"/>
          </w:tcPr>
          <w:p w14:paraId="78AFB4B3" w14:textId="77777777" w:rsidR="00662E2D" w:rsidRPr="004E4AA7" w:rsidRDefault="00662E2D" w:rsidP="000D3B07">
            <w:pPr>
              <w:spacing w:before="120" w:after="120"/>
              <w:rPr>
                <w:color w:val="000000"/>
                <w:sz w:val="20"/>
                <w:szCs w:val="20"/>
              </w:rPr>
            </w:pPr>
            <w:r w:rsidRPr="004E4AA7">
              <w:rPr>
                <w:color w:val="000000"/>
                <w:sz w:val="20"/>
                <w:szCs w:val="20"/>
              </w:rPr>
              <w:t>Usługi odpisu i weryfikacji dokumentów</w:t>
            </w:r>
          </w:p>
        </w:tc>
        <w:tc>
          <w:tcPr>
            <w:tcW w:w="1415" w:type="dxa"/>
            <w:vAlign w:val="center"/>
          </w:tcPr>
          <w:p w14:paraId="07B42F11"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267E525B" w14:textId="77777777" w:rsidR="00662E2D" w:rsidRPr="004E4AA7" w:rsidRDefault="00662E2D" w:rsidP="000D3B07">
            <w:pPr>
              <w:spacing w:before="120" w:after="120"/>
              <w:rPr>
                <w:color w:val="000000"/>
                <w:sz w:val="20"/>
                <w:szCs w:val="20"/>
              </w:rPr>
            </w:pPr>
            <w:r w:rsidRPr="004E4AA7">
              <w:rPr>
                <w:color w:val="000000"/>
                <w:sz w:val="20"/>
                <w:szCs w:val="20"/>
              </w:rPr>
              <w:t>krz-wer-odpis-api</w:t>
            </w:r>
          </w:p>
        </w:tc>
      </w:tr>
    </w:tbl>
    <w:p w14:paraId="2D6EB2CD"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28" w:name="_Toc61411008"/>
      <w:bookmarkStart w:id="129" w:name="_Toc63186230"/>
      <w:bookmarkStart w:id="130" w:name="_Toc115598592"/>
      <w:bookmarkStart w:id="131" w:name="_Toc134561929"/>
    </w:p>
    <w:p w14:paraId="06881570" w14:textId="13548B3F"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Użytkownik branżowy</w:t>
      </w:r>
      <w:bookmarkEnd w:id="128"/>
      <w:bookmarkEnd w:id="129"/>
      <w:bookmarkEnd w:id="130"/>
      <w:bookmarkEnd w:id="131"/>
    </w:p>
    <w:p w14:paraId="2DAB100D"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Użytkownik branżowy</w:t>
      </w:r>
      <w:r w:rsidRPr="004E4AA7">
        <w:rPr>
          <w:sz w:val="20"/>
          <w:szCs w:val="20"/>
        </w:rPr>
        <w:t xml:space="preserve"> zawarte są następujące komponenty aplikacyjne:</w:t>
      </w:r>
    </w:p>
    <w:p w14:paraId="16939C91" w14:textId="4A11AB47" w:rsidR="00662E2D" w:rsidRPr="004E4AA7" w:rsidRDefault="00662E2D" w:rsidP="000D3B07">
      <w:pPr>
        <w:pStyle w:val="Legenda"/>
        <w:spacing w:before="120" w:after="120"/>
        <w:rPr>
          <w:rFonts w:ascii="Times New Roman" w:hAnsi="Times New Roman"/>
          <w:sz w:val="20"/>
        </w:rPr>
      </w:pPr>
      <w:bookmarkStart w:id="132" w:name="_Toc115598827"/>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1</w:t>
      </w:r>
      <w:r w:rsidRPr="004E4AA7">
        <w:rPr>
          <w:rFonts w:ascii="Times New Roman" w:hAnsi="Times New Roman"/>
          <w:sz w:val="20"/>
        </w:rPr>
        <w:t xml:space="preserve"> - Komponenty podsystemu Użytkownik branżowy</w:t>
      </w:r>
      <w:bookmarkEnd w:id="1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4CD51043"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7EA11FC"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29C0C9F0"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40FCA69"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0B09BAFE" w14:textId="77777777" w:rsidTr="00BB6EDE">
        <w:trPr>
          <w:cantSplit/>
          <w:trHeight w:val="284"/>
          <w:tblHeader/>
          <w:jc w:val="center"/>
        </w:trPr>
        <w:tc>
          <w:tcPr>
            <w:tcW w:w="5670" w:type="dxa"/>
            <w:vAlign w:val="center"/>
          </w:tcPr>
          <w:p w14:paraId="24DDA652" w14:textId="77777777" w:rsidR="00662E2D" w:rsidRPr="004E4AA7" w:rsidRDefault="00662E2D" w:rsidP="000D3B07">
            <w:pPr>
              <w:spacing w:before="120" w:after="120"/>
              <w:rPr>
                <w:sz w:val="20"/>
                <w:szCs w:val="20"/>
              </w:rPr>
            </w:pPr>
            <w:bookmarkStart w:id="133" w:name="_Hlk63168756"/>
            <w:r w:rsidRPr="004E4AA7">
              <w:rPr>
                <w:color w:val="000000"/>
                <w:sz w:val="20"/>
                <w:szCs w:val="20"/>
              </w:rPr>
              <w:t>Usługi dla portalu użytkowników branżowych, syndyków</w:t>
            </w:r>
            <w:bookmarkEnd w:id="133"/>
          </w:p>
        </w:tc>
        <w:tc>
          <w:tcPr>
            <w:tcW w:w="1415" w:type="dxa"/>
            <w:vAlign w:val="center"/>
          </w:tcPr>
          <w:p w14:paraId="6642524E"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195C7539" w14:textId="77777777" w:rsidR="00662E2D" w:rsidRPr="004E4AA7" w:rsidRDefault="00662E2D" w:rsidP="000D3B07">
            <w:pPr>
              <w:spacing w:before="120" w:after="120"/>
              <w:rPr>
                <w:sz w:val="20"/>
                <w:szCs w:val="20"/>
              </w:rPr>
            </w:pPr>
            <w:r w:rsidRPr="004E4AA7">
              <w:rPr>
                <w:color w:val="000000"/>
                <w:sz w:val="20"/>
                <w:szCs w:val="20"/>
              </w:rPr>
              <w:t>krz-pbr-api</w:t>
            </w:r>
          </w:p>
        </w:tc>
      </w:tr>
      <w:tr w:rsidR="00662E2D" w:rsidRPr="004E4AA7" w14:paraId="01663069" w14:textId="77777777" w:rsidTr="00BB6EDE">
        <w:trPr>
          <w:cantSplit/>
          <w:trHeight w:val="284"/>
          <w:tblHeader/>
          <w:jc w:val="center"/>
        </w:trPr>
        <w:tc>
          <w:tcPr>
            <w:tcW w:w="5670" w:type="dxa"/>
            <w:vAlign w:val="center"/>
          </w:tcPr>
          <w:p w14:paraId="0F5746FE" w14:textId="77777777" w:rsidR="00662E2D" w:rsidRPr="004E4AA7" w:rsidRDefault="00662E2D" w:rsidP="000D3B07">
            <w:pPr>
              <w:spacing w:before="120" w:after="120"/>
              <w:rPr>
                <w:sz w:val="20"/>
                <w:szCs w:val="20"/>
              </w:rPr>
            </w:pPr>
            <w:r w:rsidRPr="004E4AA7">
              <w:rPr>
                <w:color w:val="000000"/>
                <w:sz w:val="20"/>
                <w:szCs w:val="20"/>
              </w:rPr>
              <w:t>Widoki dla portalu użytkowników branżowych, syndyków</w:t>
            </w:r>
          </w:p>
        </w:tc>
        <w:tc>
          <w:tcPr>
            <w:tcW w:w="1415" w:type="dxa"/>
            <w:vAlign w:val="center"/>
          </w:tcPr>
          <w:p w14:paraId="224B31E7" w14:textId="77777777" w:rsidR="00662E2D" w:rsidRPr="004E4AA7" w:rsidRDefault="00662E2D" w:rsidP="000D3B07">
            <w:pPr>
              <w:spacing w:before="120" w:after="120"/>
              <w:rPr>
                <w:sz w:val="20"/>
                <w:szCs w:val="20"/>
              </w:rPr>
            </w:pPr>
            <w:r w:rsidRPr="004E4AA7">
              <w:rPr>
                <w:color w:val="000000"/>
                <w:sz w:val="20"/>
                <w:szCs w:val="20"/>
              </w:rPr>
              <w:t>GUI</w:t>
            </w:r>
          </w:p>
        </w:tc>
        <w:tc>
          <w:tcPr>
            <w:tcW w:w="1977" w:type="dxa"/>
            <w:vAlign w:val="center"/>
          </w:tcPr>
          <w:p w14:paraId="39C6242A" w14:textId="77777777" w:rsidR="00662E2D" w:rsidRPr="004E4AA7" w:rsidRDefault="00662E2D" w:rsidP="000D3B07">
            <w:pPr>
              <w:spacing w:before="120" w:after="120"/>
              <w:rPr>
                <w:sz w:val="20"/>
                <w:szCs w:val="20"/>
              </w:rPr>
            </w:pPr>
            <w:r w:rsidRPr="004E4AA7">
              <w:rPr>
                <w:color w:val="000000"/>
                <w:sz w:val="20"/>
                <w:szCs w:val="20"/>
              </w:rPr>
              <w:t>krz-pbr-gui</w:t>
            </w:r>
          </w:p>
        </w:tc>
      </w:tr>
    </w:tbl>
    <w:p w14:paraId="205AAF5F" w14:textId="52069E30"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34" w:name="_Toc61411011"/>
      <w:bookmarkStart w:id="135" w:name="_Toc63186233"/>
      <w:bookmarkStart w:id="136" w:name="_Toc115598593"/>
      <w:bookmarkStart w:id="137" w:name="_Toc134561930"/>
    </w:p>
    <w:p w14:paraId="485BD4C1" w14:textId="0ACE1DD2"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Lista doradców restrukturyzacyjnych</w:t>
      </w:r>
      <w:bookmarkEnd w:id="134"/>
      <w:bookmarkEnd w:id="135"/>
      <w:bookmarkEnd w:id="136"/>
      <w:bookmarkEnd w:id="137"/>
    </w:p>
    <w:p w14:paraId="05FDDB31"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Lista doradców restrukturyzacyjnych</w:t>
      </w:r>
      <w:r w:rsidRPr="004E4AA7">
        <w:rPr>
          <w:sz w:val="20"/>
          <w:szCs w:val="20"/>
        </w:rPr>
        <w:t xml:space="preserve"> zawarte są następujące komponenty aplikacyjne:</w:t>
      </w:r>
    </w:p>
    <w:p w14:paraId="76CE9507" w14:textId="3A05E5BF" w:rsidR="00662E2D" w:rsidRPr="004E4AA7" w:rsidRDefault="00662E2D" w:rsidP="000D3B07">
      <w:pPr>
        <w:pStyle w:val="Legenda"/>
        <w:spacing w:before="120" w:after="120"/>
        <w:rPr>
          <w:rFonts w:ascii="Times New Roman" w:hAnsi="Times New Roman"/>
          <w:sz w:val="20"/>
        </w:rPr>
      </w:pPr>
      <w:bookmarkStart w:id="138" w:name="_Toc115598830"/>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2</w:t>
      </w:r>
      <w:r w:rsidRPr="004E4AA7">
        <w:rPr>
          <w:rFonts w:ascii="Times New Roman" w:hAnsi="Times New Roman"/>
          <w:sz w:val="20"/>
        </w:rPr>
        <w:t xml:space="preserve"> - Komponenty podsystemu Lista doradców restrukturyzacyjnych</w:t>
      </w:r>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037ACFC8"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E383084"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CAA2545"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664C8DF"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5974F781" w14:textId="77777777" w:rsidTr="00BB6EDE">
        <w:trPr>
          <w:cantSplit/>
          <w:trHeight w:val="284"/>
          <w:tblHeader/>
          <w:jc w:val="center"/>
        </w:trPr>
        <w:tc>
          <w:tcPr>
            <w:tcW w:w="5670" w:type="dxa"/>
            <w:vAlign w:val="center"/>
          </w:tcPr>
          <w:p w14:paraId="1981EB0C" w14:textId="77777777" w:rsidR="00662E2D" w:rsidRPr="004E4AA7" w:rsidRDefault="00662E2D" w:rsidP="000D3B07">
            <w:pPr>
              <w:spacing w:before="120" w:after="120"/>
              <w:rPr>
                <w:sz w:val="20"/>
                <w:szCs w:val="20"/>
              </w:rPr>
            </w:pPr>
            <w:r w:rsidRPr="004E4AA7">
              <w:rPr>
                <w:color w:val="000000"/>
                <w:sz w:val="20"/>
                <w:szCs w:val="20"/>
              </w:rPr>
              <w:t>Rejestr Doradców Restrukturyzacyjnych</w:t>
            </w:r>
          </w:p>
        </w:tc>
        <w:tc>
          <w:tcPr>
            <w:tcW w:w="1415" w:type="dxa"/>
            <w:vAlign w:val="center"/>
          </w:tcPr>
          <w:p w14:paraId="2822F876"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60A29D2F" w14:textId="77777777" w:rsidR="00662E2D" w:rsidRPr="004E4AA7" w:rsidRDefault="00662E2D" w:rsidP="000D3B07">
            <w:pPr>
              <w:spacing w:before="120" w:after="120"/>
              <w:rPr>
                <w:sz w:val="20"/>
                <w:szCs w:val="20"/>
              </w:rPr>
            </w:pPr>
            <w:r w:rsidRPr="004E4AA7">
              <w:rPr>
                <w:color w:val="000000"/>
                <w:sz w:val="20"/>
                <w:szCs w:val="20"/>
              </w:rPr>
              <w:t>krz-rdr</w:t>
            </w:r>
          </w:p>
        </w:tc>
      </w:tr>
      <w:tr w:rsidR="00662E2D" w:rsidRPr="004E4AA7" w14:paraId="27323FD7" w14:textId="77777777" w:rsidTr="00BB6EDE">
        <w:trPr>
          <w:cantSplit/>
          <w:trHeight w:val="284"/>
          <w:tblHeader/>
          <w:jc w:val="center"/>
        </w:trPr>
        <w:tc>
          <w:tcPr>
            <w:tcW w:w="5670" w:type="dxa"/>
            <w:vAlign w:val="center"/>
          </w:tcPr>
          <w:p w14:paraId="7747EB1F" w14:textId="77777777" w:rsidR="00662E2D" w:rsidRPr="004E4AA7" w:rsidRDefault="00662E2D" w:rsidP="000D3B07">
            <w:pPr>
              <w:spacing w:before="120" w:after="120"/>
              <w:rPr>
                <w:color w:val="000000"/>
                <w:sz w:val="20"/>
                <w:szCs w:val="20"/>
              </w:rPr>
            </w:pPr>
            <w:r w:rsidRPr="004E4AA7">
              <w:rPr>
                <w:color w:val="000000"/>
                <w:sz w:val="20"/>
                <w:szCs w:val="20"/>
              </w:rPr>
              <w:t>Komponent GUI z widokami do zarządzania rejestrem doradców restrukturyzacyjnych</w:t>
            </w:r>
          </w:p>
        </w:tc>
        <w:tc>
          <w:tcPr>
            <w:tcW w:w="1415" w:type="dxa"/>
            <w:vAlign w:val="center"/>
          </w:tcPr>
          <w:p w14:paraId="1D140D9C"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255ACB34" w14:textId="77777777" w:rsidR="00662E2D" w:rsidRPr="004E4AA7" w:rsidRDefault="00662E2D" w:rsidP="000D3B07">
            <w:pPr>
              <w:spacing w:before="120" w:after="120"/>
              <w:rPr>
                <w:color w:val="000000"/>
                <w:sz w:val="20"/>
                <w:szCs w:val="20"/>
              </w:rPr>
            </w:pPr>
            <w:r w:rsidRPr="004E4AA7">
              <w:rPr>
                <w:color w:val="000000"/>
                <w:sz w:val="20"/>
                <w:szCs w:val="20"/>
              </w:rPr>
              <w:t>krz-rdr-gui</w:t>
            </w:r>
          </w:p>
        </w:tc>
      </w:tr>
    </w:tbl>
    <w:p w14:paraId="06602C26"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39" w:name="_Toc115598594"/>
      <w:bookmarkStart w:id="140" w:name="_Toc134561931"/>
    </w:p>
    <w:p w14:paraId="4DC7EC8D" w14:textId="154154D5"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Planowanie rozpraw</w:t>
      </w:r>
      <w:bookmarkEnd w:id="139"/>
      <w:bookmarkEnd w:id="140"/>
    </w:p>
    <w:p w14:paraId="09CAC813"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Planowanie rozpraw</w:t>
      </w:r>
      <w:r w:rsidRPr="004E4AA7">
        <w:rPr>
          <w:sz w:val="20"/>
          <w:szCs w:val="20"/>
        </w:rPr>
        <w:t xml:space="preserve"> zawarte są następujące komponenty aplikacyjne:</w:t>
      </w:r>
    </w:p>
    <w:p w14:paraId="436A3521" w14:textId="617B6B05" w:rsidR="00662E2D" w:rsidRPr="004E4AA7" w:rsidRDefault="00662E2D" w:rsidP="000D3B07">
      <w:pPr>
        <w:pStyle w:val="Legenda"/>
        <w:spacing w:before="120" w:after="120"/>
        <w:rPr>
          <w:rFonts w:ascii="Times New Roman" w:hAnsi="Times New Roman"/>
          <w:sz w:val="20"/>
        </w:rPr>
      </w:pPr>
      <w:bookmarkStart w:id="141" w:name="_Toc115598833"/>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3</w:t>
      </w:r>
      <w:r w:rsidRPr="004E4AA7">
        <w:rPr>
          <w:rFonts w:ascii="Times New Roman" w:hAnsi="Times New Roman"/>
          <w:sz w:val="20"/>
        </w:rPr>
        <w:t xml:space="preserve"> - Komponenty podsystemu Planowanie rozpraw</w:t>
      </w:r>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7C0482BA"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C84FD9E"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5026CF0"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91A2B85"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5735F03D" w14:textId="77777777" w:rsidTr="00BB6EDE">
        <w:trPr>
          <w:cantSplit/>
          <w:trHeight w:val="284"/>
          <w:tblHeader/>
          <w:jc w:val="center"/>
        </w:trPr>
        <w:tc>
          <w:tcPr>
            <w:tcW w:w="5670" w:type="dxa"/>
            <w:vAlign w:val="center"/>
          </w:tcPr>
          <w:p w14:paraId="54180BAF" w14:textId="77777777" w:rsidR="00662E2D" w:rsidRPr="004E4AA7" w:rsidRDefault="00662E2D" w:rsidP="000D3B07">
            <w:pPr>
              <w:spacing w:before="120" w:after="120"/>
              <w:rPr>
                <w:sz w:val="20"/>
                <w:szCs w:val="20"/>
              </w:rPr>
            </w:pPr>
            <w:r w:rsidRPr="004E4AA7">
              <w:rPr>
                <w:color w:val="000000"/>
                <w:sz w:val="20"/>
                <w:szCs w:val="20"/>
              </w:rPr>
              <w:t>Usługi planowania rozpraw</w:t>
            </w:r>
          </w:p>
        </w:tc>
        <w:tc>
          <w:tcPr>
            <w:tcW w:w="1415" w:type="dxa"/>
            <w:vAlign w:val="center"/>
          </w:tcPr>
          <w:p w14:paraId="39852AFE"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44CF13C3" w14:textId="77777777" w:rsidR="00662E2D" w:rsidRPr="004E4AA7" w:rsidRDefault="00662E2D" w:rsidP="000D3B07">
            <w:pPr>
              <w:spacing w:before="120" w:after="120"/>
              <w:rPr>
                <w:sz w:val="20"/>
                <w:szCs w:val="20"/>
              </w:rPr>
            </w:pPr>
            <w:r w:rsidRPr="004E4AA7">
              <w:rPr>
                <w:color w:val="000000"/>
                <w:sz w:val="20"/>
                <w:szCs w:val="20"/>
              </w:rPr>
              <w:t>krz-rozprawy-api</w:t>
            </w:r>
          </w:p>
        </w:tc>
      </w:tr>
      <w:tr w:rsidR="00662E2D" w:rsidRPr="004E4AA7" w14:paraId="24702743" w14:textId="77777777" w:rsidTr="00BB6EDE">
        <w:trPr>
          <w:cantSplit/>
          <w:trHeight w:val="284"/>
          <w:tblHeader/>
          <w:jc w:val="center"/>
        </w:trPr>
        <w:tc>
          <w:tcPr>
            <w:tcW w:w="5670" w:type="dxa"/>
            <w:vAlign w:val="center"/>
          </w:tcPr>
          <w:p w14:paraId="4B4E2A2D" w14:textId="77777777" w:rsidR="00662E2D" w:rsidRPr="004E4AA7" w:rsidRDefault="00662E2D" w:rsidP="000D3B07">
            <w:pPr>
              <w:spacing w:before="120" w:after="120"/>
              <w:rPr>
                <w:color w:val="000000"/>
                <w:sz w:val="20"/>
                <w:szCs w:val="20"/>
              </w:rPr>
            </w:pPr>
            <w:r w:rsidRPr="004E4AA7">
              <w:rPr>
                <w:color w:val="000000"/>
                <w:sz w:val="20"/>
                <w:szCs w:val="20"/>
              </w:rPr>
              <w:t>Planowanie rozpraw</w:t>
            </w:r>
          </w:p>
        </w:tc>
        <w:tc>
          <w:tcPr>
            <w:tcW w:w="1415" w:type="dxa"/>
            <w:vAlign w:val="center"/>
          </w:tcPr>
          <w:p w14:paraId="10B4EE45"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08259274" w14:textId="77777777" w:rsidR="00662E2D" w:rsidRPr="004E4AA7" w:rsidRDefault="00662E2D" w:rsidP="000D3B07">
            <w:pPr>
              <w:spacing w:before="120" w:after="120"/>
              <w:rPr>
                <w:color w:val="000000"/>
                <w:sz w:val="20"/>
                <w:szCs w:val="20"/>
              </w:rPr>
            </w:pPr>
            <w:r w:rsidRPr="004E4AA7">
              <w:rPr>
                <w:color w:val="000000"/>
                <w:sz w:val="20"/>
                <w:szCs w:val="20"/>
              </w:rPr>
              <w:t>krz-rozprawy-gui</w:t>
            </w:r>
          </w:p>
        </w:tc>
      </w:tr>
    </w:tbl>
    <w:p w14:paraId="038BE445"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42" w:name="_Toc115598595"/>
      <w:bookmarkStart w:id="143" w:name="_Toc134561932"/>
    </w:p>
    <w:p w14:paraId="7D9EF4E0" w14:textId="328A6D32"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Rejestr sądów i sędziów</w:t>
      </w:r>
      <w:bookmarkEnd w:id="142"/>
      <w:bookmarkEnd w:id="143"/>
    </w:p>
    <w:p w14:paraId="562536C6"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Rejestr sądów i sędziów</w:t>
      </w:r>
      <w:r w:rsidRPr="004E4AA7">
        <w:rPr>
          <w:sz w:val="20"/>
          <w:szCs w:val="20"/>
        </w:rPr>
        <w:t xml:space="preserve"> zawarte są następujące komponenty aplikacyjne:</w:t>
      </w:r>
    </w:p>
    <w:p w14:paraId="6CB33E71" w14:textId="753622B6" w:rsidR="00662E2D" w:rsidRPr="004E4AA7" w:rsidRDefault="00662E2D" w:rsidP="000D3B07">
      <w:pPr>
        <w:pStyle w:val="Legenda"/>
        <w:spacing w:before="120" w:after="120"/>
        <w:rPr>
          <w:rFonts w:ascii="Times New Roman" w:hAnsi="Times New Roman"/>
          <w:sz w:val="20"/>
        </w:rPr>
      </w:pPr>
      <w:bookmarkStart w:id="144" w:name="_Toc115598836"/>
      <w:r w:rsidRPr="004E4AA7">
        <w:rPr>
          <w:rFonts w:ascii="Times New Roman" w:hAnsi="Times New Roman"/>
          <w:sz w:val="20"/>
        </w:rPr>
        <w:lastRenderedPageBreak/>
        <w:t xml:space="preserve">Tabela </w:t>
      </w:r>
      <w:r w:rsidR="00BA3750" w:rsidRPr="004E4AA7">
        <w:rPr>
          <w:rFonts w:ascii="Times New Roman" w:hAnsi="Times New Roman"/>
          <w:sz w:val="20"/>
        </w:rPr>
        <w:t>1</w:t>
      </w:r>
      <w:r w:rsidR="00B11D4A" w:rsidRPr="004E4AA7">
        <w:rPr>
          <w:rFonts w:ascii="Times New Roman" w:hAnsi="Times New Roman"/>
          <w:sz w:val="20"/>
        </w:rPr>
        <w:t>4</w:t>
      </w:r>
      <w:r w:rsidRPr="004E4AA7">
        <w:rPr>
          <w:rFonts w:ascii="Times New Roman" w:hAnsi="Times New Roman"/>
          <w:sz w:val="20"/>
        </w:rPr>
        <w:t xml:space="preserve"> - Komponenty podsystemu Rejestr sądów i sędziów</w:t>
      </w:r>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595118AC"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36F6033"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52CA54C6"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7231E60"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12B88BA8" w14:textId="77777777" w:rsidTr="00BB6EDE">
        <w:trPr>
          <w:cantSplit/>
          <w:trHeight w:val="284"/>
          <w:tblHeader/>
          <w:jc w:val="center"/>
        </w:trPr>
        <w:tc>
          <w:tcPr>
            <w:tcW w:w="5670" w:type="dxa"/>
            <w:vAlign w:val="center"/>
          </w:tcPr>
          <w:p w14:paraId="172C697C" w14:textId="77777777" w:rsidR="00662E2D" w:rsidRPr="004E4AA7" w:rsidRDefault="00662E2D" w:rsidP="000D3B07">
            <w:pPr>
              <w:spacing w:before="120" w:after="120"/>
              <w:rPr>
                <w:sz w:val="20"/>
                <w:szCs w:val="20"/>
              </w:rPr>
            </w:pPr>
            <w:r w:rsidRPr="004E4AA7">
              <w:rPr>
                <w:sz w:val="20"/>
                <w:szCs w:val="20"/>
              </w:rPr>
              <w:t>Rejestr sądów</w:t>
            </w:r>
          </w:p>
        </w:tc>
        <w:tc>
          <w:tcPr>
            <w:tcW w:w="1415" w:type="dxa"/>
            <w:vAlign w:val="center"/>
          </w:tcPr>
          <w:p w14:paraId="1DD77C36"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6EC4E600" w14:textId="77777777" w:rsidR="00662E2D" w:rsidRPr="004E4AA7" w:rsidRDefault="00662E2D" w:rsidP="000D3B07">
            <w:pPr>
              <w:spacing w:before="120" w:after="120"/>
              <w:rPr>
                <w:sz w:val="20"/>
                <w:szCs w:val="20"/>
              </w:rPr>
            </w:pPr>
            <w:r w:rsidRPr="004E4AA7">
              <w:rPr>
                <w:color w:val="000000"/>
                <w:sz w:val="20"/>
                <w:szCs w:val="20"/>
              </w:rPr>
              <w:t>krz-rss-sady</w:t>
            </w:r>
          </w:p>
        </w:tc>
      </w:tr>
      <w:tr w:rsidR="00662E2D" w:rsidRPr="004E4AA7" w14:paraId="0CA708D0" w14:textId="77777777" w:rsidTr="00BB6EDE">
        <w:trPr>
          <w:cantSplit/>
          <w:trHeight w:val="284"/>
          <w:tblHeader/>
          <w:jc w:val="center"/>
        </w:trPr>
        <w:tc>
          <w:tcPr>
            <w:tcW w:w="5670" w:type="dxa"/>
            <w:vAlign w:val="center"/>
          </w:tcPr>
          <w:p w14:paraId="4CD27709" w14:textId="77777777" w:rsidR="00662E2D" w:rsidRPr="004E4AA7" w:rsidRDefault="00662E2D" w:rsidP="000D3B07">
            <w:pPr>
              <w:spacing w:before="120" w:after="120"/>
              <w:rPr>
                <w:sz w:val="20"/>
                <w:szCs w:val="20"/>
              </w:rPr>
            </w:pPr>
            <w:r w:rsidRPr="004E4AA7">
              <w:rPr>
                <w:sz w:val="20"/>
                <w:szCs w:val="20"/>
              </w:rPr>
              <w:t>Rejestr sędziów</w:t>
            </w:r>
          </w:p>
        </w:tc>
        <w:tc>
          <w:tcPr>
            <w:tcW w:w="1415" w:type="dxa"/>
            <w:vAlign w:val="center"/>
          </w:tcPr>
          <w:p w14:paraId="412D674A"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05E0659E" w14:textId="77777777" w:rsidR="00662E2D" w:rsidRPr="004E4AA7" w:rsidRDefault="00662E2D" w:rsidP="000D3B07">
            <w:pPr>
              <w:spacing w:before="120" w:after="120"/>
              <w:rPr>
                <w:sz w:val="20"/>
                <w:szCs w:val="20"/>
              </w:rPr>
            </w:pPr>
            <w:r w:rsidRPr="004E4AA7">
              <w:rPr>
                <w:color w:val="000000"/>
                <w:sz w:val="20"/>
                <w:szCs w:val="20"/>
              </w:rPr>
              <w:t>krz-rss-sedziowie</w:t>
            </w:r>
          </w:p>
        </w:tc>
      </w:tr>
      <w:tr w:rsidR="00662E2D" w:rsidRPr="004E4AA7" w14:paraId="36E53AED" w14:textId="77777777" w:rsidTr="00BB6EDE">
        <w:trPr>
          <w:cantSplit/>
          <w:trHeight w:val="284"/>
          <w:tblHeader/>
          <w:jc w:val="center"/>
        </w:trPr>
        <w:tc>
          <w:tcPr>
            <w:tcW w:w="5670" w:type="dxa"/>
            <w:vAlign w:val="center"/>
          </w:tcPr>
          <w:p w14:paraId="7F09BFB1" w14:textId="77777777" w:rsidR="00662E2D" w:rsidRPr="004E4AA7" w:rsidRDefault="00662E2D" w:rsidP="000D3B07">
            <w:pPr>
              <w:spacing w:before="120" w:after="120"/>
              <w:rPr>
                <w:sz w:val="20"/>
                <w:szCs w:val="20"/>
              </w:rPr>
            </w:pPr>
            <w:r w:rsidRPr="004E4AA7">
              <w:rPr>
                <w:sz w:val="20"/>
                <w:szCs w:val="20"/>
              </w:rPr>
              <w:t>Zarządzanie atrybutami statystycznymi</w:t>
            </w:r>
          </w:p>
        </w:tc>
        <w:tc>
          <w:tcPr>
            <w:tcW w:w="1415" w:type="dxa"/>
            <w:vAlign w:val="center"/>
          </w:tcPr>
          <w:p w14:paraId="340BE8FB"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47F5AC71" w14:textId="77777777" w:rsidR="00662E2D" w:rsidRPr="004E4AA7" w:rsidRDefault="00662E2D" w:rsidP="000D3B07">
            <w:pPr>
              <w:spacing w:before="120" w:after="120"/>
              <w:rPr>
                <w:color w:val="000000"/>
                <w:sz w:val="20"/>
                <w:szCs w:val="20"/>
              </w:rPr>
            </w:pPr>
            <w:r w:rsidRPr="004E4AA7">
              <w:rPr>
                <w:color w:val="000000"/>
                <w:sz w:val="20"/>
                <w:szCs w:val="20"/>
              </w:rPr>
              <w:t>krz-rss-stat</w:t>
            </w:r>
          </w:p>
        </w:tc>
      </w:tr>
      <w:tr w:rsidR="00662E2D" w:rsidRPr="004E4AA7" w14:paraId="2D2964C3" w14:textId="77777777" w:rsidTr="00BB6EDE">
        <w:trPr>
          <w:cantSplit/>
          <w:trHeight w:val="284"/>
          <w:tblHeader/>
          <w:jc w:val="center"/>
        </w:trPr>
        <w:tc>
          <w:tcPr>
            <w:tcW w:w="5670" w:type="dxa"/>
            <w:vAlign w:val="center"/>
          </w:tcPr>
          <w:p w14:paraId="131261B4" w14:textId="77777777" w:rsidR="00662E2D" w:rsidRPr="004E4AA7" w:rsidRDefault="00662E2D" w:rsidP="000D3B07">
            <w:pPr>
              <w:spacing w:before="120" w:after="120"/>
              <w:rPr>
                <w:sz w:val="20"/>
                <w:szCs w:val="20"/>
              </w:rPr>
            </w:pPr>
            <w:r w:rsidRPr="004E4AA7">
              <w:rPr>
                <w:sz w:val="20"/>
                <w:szCs w:val="20"/>
              </w:rPr>
              <w:t>Adapter ZSRK</w:t>
            </w:r>
          </w:p>
        </w:tc>
        <w:tc>
          <w:tcPr>
            <w:tcW w:w="1415" w:type="dxa"/>
            <w:vAlign w:val="center"/>
          </w:tcPr>
          <w:p w14:paraId="433AF46E"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47C00916" w14:textId="77777777" w:rsidR="00662E2D" w:rsidRPr="004E4AA7" w:rsidRDefault="00662E2D" w:rsidP="000D3B07">
            <w:pPr>
              <w:spacing w:before="120" w:after="120"/>
              <w:rPr>
                <w:sz w:val="20"/>
                <w:szCs w:val="20"/>
              </w:rPr>
            </w:pPr>
            <w:r w:rsidRPr="004E4AA7">
              <w:rPr>
                <w:color w:val="000000"/>
                <w:sz w:val="20"/>
                <w:szCs w:val="20"/>
              </w:rPr>
              <w:t>zsrk-adapter</w:t>
            </w:r>
          </w:p>
        </w:tc>
      </w:tr>
    </w:tbl>
    <w:p w14:paraId="099F3240"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45" w:name="_Toc115598596"/>
      <w:bookmarkStart w:id="146" w:name="_Toc134561933"/>
    </w:p>
    <w:p w14:paraId="280B6987" w14:textId="28C0DB06"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Słowniki i parametry</w:t>
      </w:r>
      <w:bookmarkEnd w:id="145"/>
      <w:bookmarkEnd w:id="146"/>
    </w:p>
    <w:p w14:paraId="58DC2DF8"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Słowniki i parametry</w:t>
      </w:r>
      <w:r w:rsidRPr="004E4AA7">
        <w:rPr>
          <w:sz w:val="20"/>
          <w:szCs w:val="20"/>
        </w:rPr>
        <w:t xml:space="preserve"> zawarte są następujące komponenty aplikacyjne:</w:t>
      </w:r>
    </w:p>
    <w:p w14:paraId="11DC5957" w14:textId="4E99C878" w:rsidR="00662E2D" w:rsidRPr="004E4AA7" w:rsidRDefault="00662E2D" w:rsidP="000D3B07">
      <w:pPr>
        <w:pStyle w:val="Legenda"/>
        <w:spacing w:before="120" w:after="120"/>
        <w:rPr>
          <w:rFonts w:ascii="Times New Roman" w:hAnsi="Times New Roman"/>
          <w:sz w:val="20"/>
        </w:rPr>
      </w:pPr>
      <w:bookmarkStart w:id="147" w:name="_Toc115598840"/>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5</w:t>
      </w:r>
      <w:r w:rsidRPr="004E4AA7">
        <w:rPr>
          <w:rFonts w:ascii="Times New Roman" w:hAnsi="Times New Roman"/>
          <w:sz w:val="20"/>
        </w:rPr>
        <w:t xml:space="preserve"> - Komponenty podsystemu Słowniki i parametry</w:t>
      </w:r>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1DD7F51C"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D5C14B4"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0931CC6"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6C3BA8A"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6B6D3F0" w14:textId="77777777" w:rsidTr="00BB6EDE">
        <w:trPr>
          <w:cantSplit/>
          <w:trHeight w:val="284"/>
          <w:tblHeader/>
          <w:jc w:val="center"/>
        </w:trPr>
        <w:tc>
          <w:tcPr>
            <w:tcW w:w="5098" w:type="dxa"/>
            <w:vAlign w:val="center"/>
          </w:tcPr>
          <w:p w14:paraId="00E2F6C3" w14:textId="77777777" w:rsidR="00662E2D" w:rsidRPr="004E4AA7" w:rsidRDefault="00662E2D" w:rsidP="000D3B07">
            <w:pPr>
              <w:spacing w:before="120" w:after="120"/>
              <w:rPr>
                <w:sz w:val="20"/>
                <w:szCs w:val="20"/>
              </w:rPr>
            </w:pPr>
            <w:r w:rsidRPr="004E4AA7">
              <w:rPr>
                <w:color w:val="000000"/>
                <w:sz w:val="20"/>
                <w:szCs w:val="20"/>
              </w:rPr>
              <w:t>Centralny Rejestr Słowników</w:t>
            </w:r>
          </w:p>
        </w:tc>
        <w:tc>
          <w:tcPr>
            <w:tcW w:w="1560" w:type="dxa"/>
            <w:vAlign w:val="center"/>
          </w:tcPr>
          <w:p w14:paraId="1E21442D"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7D4121B3" w14:textId="77777777" w:rsidR="00662E2D" w:rsidRPr="004E4AA7" w:rsidRDefault="00662E2D" w:rsidP="000D3B07">
            <w:pPr>
              <w:spacing w:before="120" w:after="120"/>
              <w:rPr>
                <w:sz w:val="20"/>
                <w:szCs w:val="20"/>
              </w:rPr>
            </w:pPr>
            <w:r w:rsidRPr="004E4AA7">
              <w:rPr>
                <w:color w:val="000000"/>
                <w:sz w:val="20"/>
                <w:szCs w:val="20"/>
              </w:rPr>
              <w:t>crs-api</w:t>
            </w:r>
          </w:p>
        </w:tc>
      </w:tr>
    </w:tbl>
    <w:p w14:paraId="255C72C9" w14:textId="77777777" w:rsidR="00B867C3" w:rsidRPr="004E4AA7" w:rsidRDefault="00B867C3" w:rsidP="00B867C3">
      <w:pPr>
        <w:pStyle w:val="P1"/>
        <w:numPr>
          <w:ilvl w:val="0"/>
          <w:numId w:val="0"/>
        </w:numPr>
        <w:ind w:left="284"/>
        <w:rPr>
          <w:rFonts w:ascii="Times New Roman" w:hAnsi="Times New Roman" w:cs="Times New Roman"/>
          <w:b w:val="0"/>
          <w:bCs/>
          <w:i/>
          <w:iCs/>
          <w:sz w:val="20"/>
          <w:szCs w:val="20"/>
        </w:rPr>
      </w:pPr>
      <w:bookmarkStart w:id="148" w:name="_Toc61411001"/>
      <w:bookmarkStart w:id="149" w:name="_Toc63186225"/>
      <w:bookmarkStart w:id="150" w:name="_Toc115598597"/>
      <w:bookmarkStart w:id="151" w:name="_Toc134561934"/>
    </w:p>
    <w:p w14:paraId="6EED82D0" w14:textId="3B577626"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Repozytorium dokumentów</w:t>
      </w:r>
      <w:bookmarkEnd w:id="148"/>
      <w:bookmarkEnd w:id="149"/>
      <w:bookmarkEnd w:id="150"/>
      <w:bookmarkEnd w:id="151"/>
    </w:p>
    <w:p w14:paraId="28C06398"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Repozytorium dokumentów</w:t>
      </w:r>
      <w:r w:rsidRPr="004E4AA7">
        <w:rPr>
          <w:sz w:val="20"/>
          <w:szCs w:val="20"/>
        </w:rPr>
        <w:t xml:space="preserve"> zawarte są następujące komponenty aplikacyjne:</w:t>
      </w:r>
    </w:p>
    <w:p w14:paraId="77B985C6" w14:textId="7FD382D0" w:rsidR="00662E2D" w:rsidRPr="004E4AA7" w:rsidRDefault="00662E2D" w:rsidP="000D3B07">
      <w:pPr>
        <w:pStyle w:val="Legenda"/>
        <w:spacing w:before="120" w:after="120"/>
        <w:rPr>
          <w:rFonts w:ascii="Times New Roman" w:hAnsi="Times New Roman"/>
          <w:sz w:val="20"/>
        </w:rPr>
      </w:pPr>
      <w:bookmarkStart w:id="152" w:name="_Toc115598842"/>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6</w:t>
      </w:r>
      <w:r w:rsidRPr="004E4AA7">
        <w:rPr>
          <w:rFonts w:ascii="Times New Roman" w:hAnsi="Times New Roman"/>
          <w:sz w:val="20"/>
        </w:rPr>
        <w:t xml:space="preserve"> - Komponenty podsystemu Repozytorium dokumentów</w:t>
      </w:r>
      <w:bookmarkEnd w:id="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07A709D8"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34DE8AE"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EE4167A"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F3F3A2A"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B27363C" w14:textId="77777777" w:rsidTr="00BB6EDE">
        <w:trPr>
          <w:cantSplit/>
          <w:trHeight w:val="284"/>
          <w:tblHeader/>
          <w:jc w:val="center"/>
        </w:trPr>
        <w:tc>
          <w:tcPr>
            <w:tcW w:w="5670" w:type="dxa"/>
            <w:vAlign w:val="center"/>
          </w:tcPr>
          <w:p w14:paraId="2E3159DE" w14:textId="77777777" w:rsidR="00662E2D" w:rsidRPr="004E4AA7" w:rsidRDefault="00662E2D" w:rsidP="000D3B07">
            <w:pPr>
              <w:spacing w:before="120" w:after="120"/>
              <w:rPr>
                <w:sz w:val="20"/>
                <w:szCs w:val="20"/>
              </w:rPr>
            </w:pPr>
            <w:bookmarkStart w:id="153" w:name="_Hlk63167754"/>
            <w:r w:rsidRPr="004E4AA7">
              <w:rPr>
                <w:color w:val="000000"/>
                <w:sz w:val="20"/>
                <w:szCs w:val="20"/>
              </w:rPr>
              <w:t>Repozytorium wzorów dokumentów</w:t>
            </w:r>
            <w:bookmarkEnd w:id="153"/>
          </w:p>
        </w:tc>
        <w:tc>
          <w:tcPr>
            <w:tcW w:w="1415" w:type="dxa"/>
            <w:vAlign w:val="center"/>
          </w:tcPr>
          <w:p w14:paraId="36516E8B"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6D0A9C9D" w14:textId="77777777" w:rsidR="00662E2D" w:rsidRPr="004E4AA7" w:rsidRDefault="00662E2D" w:rsidP="000D3B07">
            <w:pPr>
              <w:spacing w:before="120" w:after="120"/>
              <w:rPr>
                <w:sz w:val="20"/>
                <w:szCs w:val="20"/>
              </w:rPr>
            </w:pPr>
            <w:r w:rsidRPr="004E4AA7">
              <w:rPr>
                <w:color w:val="000000"/>
                <w:sz w:val="20"/>
                <w:szCs w:val="20"/>
              </w:rPr>
              <w:t>rd-api</w:t>
            </w:r>
          </w:p>
        </w:tc>
      </w:tr>
      <w:tr w:rsidR="00662E2D" w:rsidRPr="004E4AA7" w14:paraId="0B80A58A" w14:textId="77777777" w:rsidTr="00BB6EDE">
        <w:trPr>
          <w:cantSplit/>
          <w:trHeight w:val="284"/>
          <w:tblHeader/>
          <w:jc w:val="center"/>
        </w:trPr>
        <w:tc>
          <w:tcPr>
            <w:tcW w:w="5670" w:type="dxa"/>
            <w:vAlign w:val="center"/>
          </w:tcPr>
          <w:p w14:paraId="3A5877BC" w14:textId="77777777" w:rsidR="00662E2D" w:rsidRPr="004E4AA7" w:rsidRDefault="00662E2D" w:rsidP="000D3B07">
            <w:pPr>
              <w:spacing w:before="120" w:after="120"/>
              <w:rPr>
                <w:color w:val="000000"/>
                <w:sz w:val="20"/>
                <w:szCs w:val="20"/>
              </w:rPr>
            </w:pPr>
            <w:r w:rsidRPr="004E4AA7">
              <w:rPr>
                <w:color w:val="000000"/>
                <w:sz w:val="20"/>
                <w:szCs w:val="20"/>
              </w:rPr>
              <w:t>Ekrany podpisu elektronicznego repozytorium dokumentów</w:t>
            </w:r>
          </w:p>
        </w:tc>
        <w:tc>
          <w:tcPr>
            <w:tcW w:w="1415" w:type="dxa"/>
            <w:vAlign w:val="center"/>
          </w:tcPr>
          <w:p w14:paraId="6EF63C43"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7772D5CA" w14:textId="77777777" w:rsidR="00662E2D" w:rsidRPr="004E4AA7" w:rsidRDefault="00662E2D" w:rsidP="000D3B07">
            <w:pPr>
              <w:spacing w:before="120" w:after="120"/>
              <w:rPr>
                <w:color w:val="000000"/>
                <w:sz w:val="20"/>
                <w:szCs w:val="20"/>
              </w:rPr>
            </w:pPr>
            <w:r w:rsidRPr="004E4AA7">
              <w:rPr>
                <w:color w:val="000000"/>
                <w:sz w:val="20"/>
                <w:szCs w:val="20"/>
              </w:rPr>
              <w:t>rd-sign</w:t>
            </w:r>
          </w:p>
        </w:tc>
      </w:tr>
      <w:tr w:rsidR="00662E2D" w:rsidRPr="004E4AA7" w14:paraId="1BA33233" w14:textId="77777777" w:rsidTr="00BB6EDE">
        <w:trPr>
          <w:cantSplit/>
          <w:trHeight w:val="284"/>
          <w:tblHeader/>
          <w:jc w:val="center"/>
        </w:trPr>
        <w:tc>
          <w:tcPr>
            <w:tcW w:w="5670" w:type="dxa"/>
            <w:vAlign w:val="center"/>
          </w:tcPr>
          <w:p w14:paraId="615B5C0C" w14:textId="77777777" w:rsidR="00662E2D" w:rsidRPr="004E4AA7" w:rsidRDefault="00662E2D" w:rsidP="000D3B07">
            <w:pPr>
              <w:spacing w:before="120" w:after="120"/>
              <w:rPr>
                <w:color w:val="000000"/>
                <w:sz w:val="20"/>
                <w:szCs w:val="20"/>
              </w:rPr>
            </w:pPr>
            <w:r w:rsidRPr="004E4AA7">
              <w:rPr>
                <w:color w:val="000000"/>
                <w:sz w:val="20"/>
                <w:szCs w:val="20"/>
              </w:rPr>
              <w:t>Usługi integracji repozytorium dokumentów z UCPE</w:t>
            </w:r>
          </w:p>
        </w:tc>
        <w:tc>
          <w:tcPr>
            <w:tcW w:w="1415" w:type="dxa"/>
            <w:vAlign w:val="center"/>
          </w:tcPr>
          <w:p w14:paraId="08E72C0D"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2791B395" w14:textId="77777777" w:rsidR="00662E2D" w:rsidRPr="004E4AA7" w:rsidRDefault="00662E2D" w:rsidP="000D3B07">
            <w:pPr>
              <w:spacing w:before="120" w:after="120"/>
              <w:rPr>
                <w:color w:val="000000"/>
                <w:sz w:val="20"/>
                <w:szCs w:val="20"/>
              </w:rPr>
            </w:pPr>
            <w:r w:rsidRPr="004E4AA7">
              <w:rPr>
                <w:color w:val="000000"/>
                <w:sz w:val="20"/>
                <w:szCs w:val="20"/>
              </w:rPr>
              <w:t>rd-sign-ucpe</w:t>
            </w:r>
          </w:p>
        </w:tc>
      </w:tr>
      <w:tr w:rsidR="00662E2D" w:rsidRPr="004E4AA7" w14:paraId="40A33497" w14:textId="77777777" w:rsidTr="00BB6EDE">
        <w:trPr>
          <w:cantSplit/>
          <w:trHeight w:val="284"/>
          <w:tblHeader/>
          <w:jc w:val="center"/>
        </w:trPr>
        <w:tc>
          <w:tcPr>
            <w:tcW w:w="5670" w:type="dxa"/>
            <w:vAlign w:val="center"/>
          </w:tcPr>
          <w:p w14:paraId="5EC9848D" w14:textId="77777777" w:rsidR="00662E2D" w:rsidRPr="004E4AA7" w:rsidRDefault="00662E2D" w:rsidP="000D3B07">
            <w:pPr>
              <w:spacing w:before="120" w:after="120"/>
              <w:rPr>
                <w:color w:val="000000"/>
                <w:sz w:val="20"/>
                <w:szCs w:val="20"/>
              </w:rPr>
            </w:pPr>
            <w:r w:rsidRPr="004E4AA7">
              <w:rPr>
                <w:color w:val="000000"/>
                <w:sz w:val="20"/>
                <w:szCs w:val="20"/>
              </w:rPr>
              <w:t>Podgląd dokumentów przechowywanych w Repozytorium dokumentów</w:t>
            </w:r>
          </w:p>
        </w:tc>
        <w:tc>
          <w:tcPr>
            <w:tcW w:w="1415" w:type="dxa"/>
            <w:vAlign w:val="center"/>
          </w:tcPr>
          <w:p w14:paraId="73EEEDA3"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301F6CF1" w14:textId="77777777" w:rsidR="00662E2D" w:rsidRPr="004E4AA7" w:rsidRDefault="00662E2D" w:rsidP="000D3B07">
            <w:pPr>
              <w:spacing w:before="120" w:after="120"/>
              <w:rPr>
                <w:color w:val="000000"/>
                <w:sz w:val="20"/>
                <w:szCs w:val="20"/>
              </w:rPr>
            </w:pPr>
            <w:r w:rsidRPr="004E4AA7">
              <w:rPr>
                <w:color w:val="000000"/>
                <w:sz w:val="20"/>
                <w:szCs w:val="20"/>
              </w:rPr>
              <w:t>rd-gui</w:t>
            </w:r>
          </w:p>
        </w:tc>
      </w:tr>
    </w:tbl>
    <w:p w14:paraId="21BD730D"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54" w:name="_Toc49927322"/>
      <w:bookmarkStart w:id="155" w:name="_Toc115598598"/>
      <w:bookmarkStart w:id="156" w:name="_Toc134561935"/>
      <w:bookmarkEnd w:id="154"/>
    </w:p>
    <w:p w14:paraId="502552EE" w14:textId="7AB58BB4"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Obsługa zgromadzeń wierzycieli</w:t>
      </w:r>
      <w:bookmarkEnd w:id="155"/>
      <w:bookmarkEnd w:id="156"/>
    </w:p>
    <w:p w14:paraId="42EB58A4"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Obsługa zgromadzeń wierzycieli </w:t>
      </w:r>
      <w:r w:rsidRPr="004E4AA7">
        <w:rPr>
          <w:sz w:val="20"/>
          <w:szCs w:val="20"/>
        </w:rPr>
        <w:t>są następujące komponenty aplikacyjne:</w:t>
      </w:r>
    </w:p>
    <w:p w14:paraId="59B45FCC" w14:textId="09A02D98" w:rsidR="00662E2D" w:rsidRPr="004E4AA7" w:rsidRDefault="00662E2D" w:rsidP="000D3B07">
      <w:pPr>
        <w:pStyle w:val="Legenda"/>
        <w:spacing w:before="120" w:after="120"/>
        <w:rPr>
          <w:rFonts w:ascii="Times New Roman" w:hAnsi="Times New Roman"/>
          <w:sz w:val="20"/>
        </w:rPr>
      </w:pPr>
      <w:bookmarkStart w:id="157" w:name="_Toc115598847"/>
      <w:r w:rsidRPr="004E4AA7">
        <w:rPr>
          <w:rFonts w:ascii="Times New Roman" w:hAnsi="Times New Roman"/>
          <w:sz w:val="20"/>
        </w:rPr>
        <w:t xml:space="preserve">Tabela </w:t>
      </w:r>
      <w:r w:rsidR="00BA3750" w:rsidRPr="004E4AA7">
        <w:rPr>
          <w:rFonts w:ascii="Times New Roman" w:hAnsi="Times New Roman"/>
          <w:sz w:val="20"/>
        </w:rPr>
        <w:t>1</w:t>
      </w:r>
      <w:r w:rsidR="00B11D4A" w:rsidRPr="004E4AA7">
        <w:rPr>
          <w:rFonts w:ascii="Times New Roman" w:hAnsi="Times New Roman"/>
          <w:sz w:val="20"/>
        </w:rPr>
        <w:t>7</w:t>
      </w:r>
      <w:r w:rsidRPr="004E4AA7">
        <w:rPr>
          <w:rFonts w:ascii="Times New Roman" w:hAnsi="Times New Roman"/>
          <w:sz w:val="20"/>
        </w:rPr>
        <w:t xml:space="preserve"> - Komponenty podsystemu Repozytorium dokumentów</w:t>
      </w:r>
      <w:bookmarkEnd w:id="1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6B2FCF1E"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7CBF53D"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68C2715"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9C44FA2"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211F7196" w14:textId="77777777" w:rsidTr="00BB6EDE">
        <w:trPr>
          <w:cantSplit/>
          <w:trHeight w:val="284"/>
          <w:tblHeader/>
          <w:jc w:val="center"/>
        </w:trPr>
        <w:tc>
          <w:tcPr>
            <w:tcW w:w="5670" w:type="dxa"/>
            <w:vAlign w:val="center"/>
          </w:tcPr>
          <w:p w14:paraId="2429A6DD" w14:textId="77777777" w:rsidR="00662E2D" w:rsidRPr="004E4AA7" w:rsidRDefault="00662E2D" w:rsidP="000D3B07">
            <w:pPr>
              <w:spacing w:before="120" w:after="120"/>
              <w:rPr>
                <w:sz w:val="20"/>
                <w:szCs w:val="20"/>
              </w:rPr>
            </w:pPr>
            <w:r w:rsidRPr="004E4AA7">
              <w:rPr>
                <w:color w:val="000000"/>
                <w:sz w:val="20"/>
                <w:szCs w:val="20"/>
              </w:rPr>
              <w:t>Interfejs użytkownika do obsługi zgromadzeń wierzycieli i głosowań</w:t>
            </w:r>
          </w:p>
        </w:tc>
        <w:tc>
          <w:tcPr>
            <w:tcW w:w="1415" w:type="dxa"/>
            <w:vAlign w:val="center"/>
          </w:tcPr>
          <w:p w14:paraId="6CF33497" w14:textId="77777777" w:rsidR="00662E2D" w:rsidRPr="004E4AA7" w:rsidRDefault="00662E2D" w:rsidP="000D3B07">
            <w:pPr>
              <w:spacing w:before="120" w:after="120"/>
              <w:rPr>
                <w:sz w:val="20"/>
                <w:szCs w:val="20"/>
              </w:rPr>
            </w:pPr>
            <w:r w:rsidRPr="004E4AA7">
              <w:rPr>
                <w:color w:val="000000"/>
                <w:sz w:val="20"/>
                <w:szCs w:val="20"/>
              </w:rPr>
              <w:t>GUI</w:t>
            </w:r>
          </w:p>
        </w:tc>
        <w:tc>
          <w:tcPr>
            <w:tcW w:w="1977" w:type="dxa"/>
            <w:vAlign w:val="center"/>
          </w:tcPr>
          <w:p w14:paraId="4935698F" w14:textId="77777777" w:rsidR="00662E2D" w:rsidRPr="004E4AA7" w:rsidRDefault="00662E2D" w:rsidP="000D3B07">
            <w:pPr>
              <w:spacing w:before="120" w:after="120"/>
              <w:rPr>
                <w:sz w:val="20"/>
                <w:szCs w:val="20"/>
              </w:rPr>
            </w:pPr>
            <w:r w:rsidRPr="004E4AA7">
              <w:rPr>
                <w:color w:val="000000"/>
                <w:sz w:val="20"/>
                <w:szCs w:val="20"/>
              </w:rPr>
              <w:t>krz-zw-gui</w:t>
            </w:r>
          </w:p>
        </w:tc>
      </w:tr>
      <w:tr w:rsidR="00662E2D" w:rsidRPr="004E4AA7" w14:paraId="66373D3A" w14:textId="77777777" w:rsidTr="00BB6EDE">
        <w:trPr>
          <w:cantSplit/>
          <w:trHeight w:val="284"/>
          <w:tblHeader/>
          <w:jc w:val="center"/>
        </w:trPr>
        <w:tc>
          <w:tcPr>
            <w:tcW w:w="5670" w:type="dxa"/>
            <w:vAlign w:val="center"/>
          </w:tcPr>
          <w:p w14:paraId="4E554AC7" w14:textId="77777777" w:rsidR="00662E2D" w:rsidRPr="004E4AA7" w:rsidRDefault="00662E2D" w:rsidP="000D3B07">
            <w:pPr>
              <w:spacing w:before="120" w:after="120"/>
              <w:rPr>
                <w:color w:val="000000"/>
                <w:sz w:val="20"/>
                <w:szCs w:val="20"/>
              </w:rPr>
            </w:pPr>
            <w:r w:rsidRPr="004E4AA7">
              <w:rPr>
                <w:color w:val="000000"/>
                <w:sz w:val="20"/>
                <w:szCs w:val="20"/>
              </w:rPr>
              <w:t>API do obsługi zgromadzeń wierzycieli i głosowań</w:t>
            </w:r>
          </w:p>
        </w:tc>
        <w:tc>
          <w:tcPr>
            <w:tcW w:w="1415" w:type="dxa"/>
            <w:vAlign w:val="center"/>
          </w:tcPr>
          <w:p w14:paraId="3922927B"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1977" w:type="dxa"/>
            <w:vAlign w:val="center"/>
          </w:tcPr>
          <w:p w14:paraId="7E5A3885" w14:textId="77777777" w:rsidR="00662E2D" w:rsidRPr="004E4AA7" w:rsidRDefault="00662E2D" w:rsidP="000D3B07">
            <w:pPr>
              <w:spacing w:before="120" w:after="120"/>
              <w:rPr>
                <w:color w:val="000000"/>
                <w:sz w:val="20"/>
                <w:szCs w:val="20"/>
              </w:rPr>
            </w:pPr>
            <w:r w:rsidRPr="004E4AA7">
              <w:rPr>
                <w:color w:val="000000"/>
                <w:sz w:val="20"/>
                <w:szCs w:val="20"/>
              </w:rPr>
              <w:t>krz-zw-api</w:t>
            </w:r>
          </w:p>
        </w:tc>
      </w:tr>
    </w:tbl>
    <w:p w14:paraId="46B0B82E"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58" w:name="_Toc115598600"/>
      <w:bookmarkStart w:id="159" w:name="_Toc134561936"/>
      <w:bookmarkStart w:id="160" w:name="_Toc63186239"/>
      <w:bookmarkStart w:id="161" w:name="_Toc61410990"/>
    </w:p>
    <w:p w14:paraId="7034BE19" w14:textId="7BF37A88"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Zgłoszenia błędów</w:t>
      </w:r>
      <w:bookmarkEnd w:id="158"/>
      <w:bookmarkEnd w:id="159"/>
    </w:p>
    <w:p w14:paraId="326DB1BB"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Zgłoszenia błędów</w:t>
      </w:r>
      <w:r w:rsidRPr="004E4AA7">
        <w:rPr>
          <w:sz w:val="20"/>
          <w:szCs w:val="20"/>
        </w:rPr>
        <w:t xml:space="preserve"> zawarte są następujące komponenty aplikacyjne:</w:t>
      </w:r>
    </w:p>
    <w:p w14:paraId="35481519" w14:textId="1E84E352" w:rsidR="00662E2D" w:rsidRPr="004E4AA7" w:rsidRDefault="00662E2D" w:rsidP="000D3B07">
      <w:pPr>
        <w:pStyle w:val="Legenda"/>
        <w:spacing w:before="120" w:after="120"/>
        <w:rPr>
          <w:rFonts w:ascii="Times New Roman" w:hAnsi="Times New Roman"/>
          <w:sz w:val="20"/>
        </w:rPr>
      </w:pPr>
      <w:bookmarkStart w:id="162" w:name="_Toc115598854"/>
      <w:r w:rsidRPr="004E4AA7">
        <w:rPr>
          <w:rFonts w:ascii="Times New Roman" w:hAnsi="Times New Roman"/>
          <w:sz w:val="20"/>
        </w:rPr>
        <w:lastRenderedPageBreak/>
        <w:t xml:space="preserve">Tabela </w:t>
      </w:r>
      <w:r w:rsidR="00BA3750" w:rsidRPr="004E4AA7">
        <w:rPr>
          <w:rFonts w:ascii="Times New Roman" w:hAnsi="Times New Roman"/>
          <w:sz w:val="20"/>
        </w:rPr>
        <w:t>1</w:t>
      </w:r>
      <w:r w:rsidR="00B867C3" w:rsidRPr="004E4AA7">
        <w:rPr>
          <w:rFonts w:ascii="Times New Roman" w:hAnsi="Times New Roman"/>
          <w:sz w:val="20"/>
        </w:rPr>
        <w:t>8</w:t>
      </w:r>
      <w:r w:rsidRPr="004E4AA7">
        <w:rPr>
          <w:rFonts w:ascii="Times New Roman" w:hAnsi="Times New Roman"/>
          <w:sz w:val="20"/>
        </w:rPr>
        <w:t xml:space="preserve"> - Komponenty podsystemu Zgłoszenia błędów</w:t>
      </w:r>
      <w:bookmarkEnd w:id="1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077AADBF"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95E2278"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B5D2CE3"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08FCB64"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E6054D5" w14:textId="77777777" w:rsidTr="00BB6EDE">
        <w:trPr>
          <w:cantSplit/>
          <w:trHeight w:val="284"/>
          <w:tblHeader/>
          <w:jc w:val="center"/>
        </w:trPr>
        <w:tc>
          <w:tcPr>
            <w:tcW w:w="5670" w:type="dxa"/>
            <w:vAlign w:val="center"/>
          </w:tcPr>
          <w:p w14:paraId="086839E1" w14:textId="77777777" w:rsidR="00662E2D" w:rsidRPr="004E4AA7" w:rsidRDefault="00662E2D" w:rsidP="000D3B07">
            <w:pPr>
              <w:spacing w:before="120" w:after="120"/>
              <w:rPr>
                <w:sz w:val="20"/>
                <w:szCs w:val="20"/>
              </w:rPr>
            </w:pPr>
            <w:r w:rsidRPr="004E4AA7">
              <w:rPr>
                <w:color w:val="000000"/>
                <w:sz w:val="20"/>
                <w:szCs w:val="20"/>
              </w:rPr>
              <w:t>Usługi aplikacji zgłoś problem</w:t>
            </w:r>
          </w:p>
        </w:tc>
        <w:tc>
          <w:tcPr>
            <w:tcW w:w="1415" w:type="dxa"/>
            <w:vAlign w:val="center"/>
          </w:tcPr>
          <w:p w14:paraId="218116C6"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70537FF2" w14:textId="77777777" w:rsidR="00662E2D" w:rsidRPr="004E4AA7" w:rsidRDefault="00662E2D" w:rsidP="000D3B07">
            <w:pPr>
              <w:spacing w:before="120" w:after="120"/>
              <w:rPr>
                <w:sz w:val="20"/>
                <w:szCs w:val="20"/>
              </w:rPr>
            </w:pPr>
            <w:r w:rsidRPr="004E4AA7">
              <w:rPr>
                <w:color w:val="000000"/>
                <w:sz w:val="20"/>
                <w:szCs w:val="20"/>
              </w:rPr>
              <w:t>zgłoszenie-api</w:t>
            </w:r>
          </w:p>
        </w:tc>
      </w:tr>
      <w:tr w:rsidR="00662E2D" w:rsidRPr="004E4AA7" w14:paraId="5B449A6E" w14:textId="77777777" w:rsidTr="00BB6EDE">
        <w:trPr>
          <w:cantSplit/>
          <w:trHeight w:val="284"/>
          <w:tblHeader/>
          <w:jc w:val="center"/>
        </w:trPr>
        <w:tc>
          <w:tcPr>
            <w:tcW w:w="5670" w:type="dxa"/>
            <w:vAlign w:val="center"/>
          </w:tcPr>
          <w:p w14:paraId="60A35B33" w14:textId="77777777" w:rsidR="00662E2D" w:rsidRPr="004E4AA7" w:rsidRDefault="00662E2D" w:rsidP="000D3B07">
            <w:pPr>
              <w:spacing w:before="120" w:after="120"/>
              <w:rPr>
                <w:color w:val="000000"/>
                <w:sz w:val="20"/>
                <w:szCs w:val="20"/>
              </w:rPr>
            </w:pPr>
            <w:r w:rsidRPr="004E4AA7">
              <w:rPr>
                <w:color w:val="000000"/>
                <w:sz w:val="20"/>
                <w:szCs w:val="20"/>
              </w:rPr>
              <w:t>Aplikacja zgłoś problem</w:t>
            </w:r>
          </w:p>
        </w:tc>
        <w:tc>
          <w:tcPr>
            <w:tcW w:w="1415" w:type="dxa"/>
            <w:vAlign w:val="center"/>
          </w:tcPr>
          <w:p w14:paraId="75EE9BF9"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1977" w:type="dxa"/>
            <w:vAlign w:val="center"/>
          </w:tcPr>
          <w:p w14:paraId="5DE2A79A" w14:textId="77777777" w:rsidR="00662E2D" w:rsidRPr="004E4AA7" w:rsidRDefault="00662E2D" w:rsidP="000D3B07">
            <w:pPr>
              <w:spacing w:before="120" w:after="120"/>
              <w:rPr>
                <w:color w:val="000000"/>
                <w:sz w:val="20"/>
                <w:szCs w:val="20"/>
              </w:rPr>
            </w:pPr>
            <w:r w:rsidRPr="004E4AA7">
              <w:rPr>
                <w:color w:val="000000"/>
                <w:sz w:val="20"/>
                <w:szCs w:val="20"/>
              </w:rPr>
              <w:t>zgłoszenie-gui</w:t>
            </w:r>
          </w:p>
        </w:tc>
      </w:tr>
    </w:tbl>
    <w:p w14:paraId="1F56F9B1"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63" w:name="_Toc115598601"/>
      <w:bookmarkStart w:id="164" w:name="_Toc134561937"/>
    </w:p>
    <w:p w14:paraId="71E565D8" w14:textId="04969175"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Wnioski</w:t>
      </w:r>
      <w:bookmarkEnd w:id="160"/>
      <w:bookmarkEnd w:id="163"/>
      <w:bookmarkEnd w:id="164"/>
    </w:p>
    <w:p w14:paraId="0881014A"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Wnioski</w:t>
      </w:r>
      <w:r w:rsidRPr="004E4AA7">
        <w:rPr>
          <w:sz w:val="20"/>
          <w:szCs w:val="20"/>
        </w:rPr>
        <w:t xml:space="preserve"> zawarte są następujące komponenty aplikacyjne:</w:t>
      </w:r>
    </w:p>
    <w:p w14:paraId="581B2410" w14:textId="35474280" w:rsidR="00662E2D" w:rsidRPr="004E4AA7" w:rsidRDefault="00662E2D" w:rsidP="000D3B07">
      <w:pPr>
        <w:pStyle w:val="Legenda"/>
        <w:spacing w:before="120" w:after="120"/>
        <w:rPr>
          <w:rFonts w:ascii="Times New Roman" w:hAnsi="Times New Roman"/>
          <w:sz w:val="20"/>
        </w:rPr>
      </w:pPr>
      <w:bookmarkStart w:id="165" w:name="_Toc115598857"/>
      <w:r w:rsidRPr="004E4AA7">
        <w:rPr>
          <w:rFonts w:ascii="Times New Roman" w:hAnsi="Times New Roman"/>
          <w:sz w:val="20"/>
        </w:rPr>
        <w:t xml:space="preserve">Tabela </w:t>
      </w:r>
      <w:r w:rsidR="00B867C3" w:rsidRPr="004E4AA7">
        <w:rPr>
          <w:rFonts w:ascii="Times New Roman" w:hAnsi="Times New Roman"/>
          <w:sz w:val="20"/>
        </w:rPr>
        <w:t>19</w:t>
      </w:r>
      <w:r w:rsidRPr="004E4AA7">
        <w:rPr>
          <w:rFonts w:ascii="Times New Roman" w:hAnsi="Times New Roman"/>
          <w:sz w:val="20"/>
        </w:rPr>
        <w:t xml:space="preserve"> - Komponenty podsystemu Wnioski</w:t>
      </w:r>
      <w:bookmarkEnd w:id="1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11307093"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4434BC9"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4BF2CEB"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52B1779"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66A4F674" w14:textId="77777777" w:rsidTr="00BB6EDE">
        <w:trPr>
          <w:cantSplit/>
          <w:trHeight w:val="284"/>
          <w:tblHeader/>
          <w:jc w:val="center"/>
        </w:trPr>
        <w:tc>
          <w:tcPr>
            <w:tcW w:w="5098" w:type="dxa"/>
            <w:vAlign w:val="center"/>
          </w:tcPr>
          <w:p w14:paraId="0A5B755F" w14:textId="77777777" w:rsidR="00662E2D" w:rsidRPr="004E4AA7" w:rsidRDefault="00662E2D" w:rsidP="000D3B07">
            <w:pPr>
              <w:spacing w:before="120" w:after="120"/>
              <w:rPr>
                <w:sz w:val="20"/>
                <w:szCs w:val="20"/>
              </w:rPr>
            </w:pPr>
            <w:r w:rsidRPr="004E4AA7">
              <w:rPr>
                <w:color w:val="000000"/>
                <w:sz w:val="20"/>
                <w:szCs w:val="20"/>
              </w:rPr>
              <w:t>Rejestr typów formularzy</w:t>
            </w:r>
          </w:p>
        </w:tc>
        <w:tc>
          <w:tcPr>
            <w:tcW w:w="1560" w:type="dxa"/>
            <w:vAlign w:val="center"/>
          </w:tcPr>
          <w:p w14:paraId="71B2794D"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66E47D3A" w14:textId="77777777" w:rsidR="00662E2D" w:rsidRPr="004E4AA7" w:rsidRDefault="00662E2D" w:rsidP="000D3B07">
            <w:pPr>
              <w:spacing w:before="120" w:after="120"/>
              <w:rPr>
                <w:sz w:val="20"/>
                <w:szCs w:val="20"/>
              </w:rPr>
            </w:pPr>
            <w:bookmarkStart w:id="166" w:name="_Hlk63170084"/>
            <w:r w:rsidRPr="004E4AA7">
              <w:rPr>
                <w:color w:val="000000"/>
                <w:sz w:val="20"/>
                <w:szCs w:val="20"/>
              </w:rPr>
              <w:t>krz-wnioski-rejestr</w:t>
            </w:r>
            <w:bookmarkEnd w:id="166"/>
          </w:p>
        </w:tc>
      </w:tr>
      <w:tr w:rsidR="00662E2D" w:rsidRPr="004E4AA7" w14:paraId="761EC977" w14:textId="77777777" w:rsidTr="00BB6EDE">
        <w:trPr>
          <w:cantSplit/>
          <w:trHeight w:val="284"/>
          <w:tblHeader/>
          <w:jc w:val="center"/>
        </w:trPr>
        <w:tc>
          <w:tcPr>
            <w:tcW w:w="5098" w:type="dxa"/>
            <w:vAlign w:val="center"/>
          </w:tcPr>
          <w:p w14:paraId="618FBEEB" w14:textId="77777777" w:rsidR="00662E2D" w:rsidRPr="004E4AA7" w:rsidRDefault="00662E2D" w:rsidP="000D3B07">
            <w:pPr>
              <w:spacing w:before="120" w:after="120"/>
              <w:rPr>
                <w:sz w:val="20"/>
                <w:szCs w:val="20"/>
              </w:rPr>
            </w:pPr>
            <w:r w:rsidRPr="004E4AA7">
              <w:rPr>
                <w:color w:val="000000"/>
                <w:sz w:val="20"/>
                <w:szCs w:val="20"/>
              </w:rPr>
              <w:t>Wypełnianie wniosków</w:t>
            </w:r>
          </w:p>
        </w:tc>
        <w:tc>
          <w:tcPr>
            <w:tcW w:w="1560" w:type="dxa"/>
            <w:vAlign w:val="center"/>
          </w:tcPr>
          <w:p w14:paraId="629C2419"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1B21AE0C" w14:textId="77777777" w:rsidR="00662E2D" w:rsidRPr="004E4AA7" w:rsidRDefault="00662E2D" w:rsidP="000D3B07">
            <w:pPr>
              <w:spacing w:before="120" w:after="120"/>
              <w:rPr>
                <w:sz w:val="20"/>
                <w:szCs w:val="20"/>
              </w:rPr>
            </w:pPr>
            <w:bookmarkStart w:id="167" w:name="_Hlk63170267"/>
            <w:r w:rsidRPr="004E4AA7">
              <w:rPr>
                <w:color w:val="000000"/>
                <w:sz w:val="20"/>
                <w:szCs w:val="20"/>
              </w:rPr>
              <w:t>krz-wnioski-formularze-gui</w:t>
            </w:r>
            <w:bookmarkEnd w:id="167"/>
          </w:p>
        </w:tc>
      </w:tr>
      <w:tr w:rsidR="00662E2D" w:rsidRPr="004E4AA7" w14:paraId="68EC473C" w14:textId="77777777" w:rsidTr="00BB6EDE">
        <w:trPr>
          <w:cantSplit/>
          <w:trHeight w:val="284"/>
          <w:tblHeader/>
          <w:jc w:val="center"/>
        </w:trPr>
        <w:tc>
          <w:tcPr>
            <w:tcW w:w="5098" w:type="dxa"/>
            <w:vAlign w:val="center"/>
          </w:tcPr>
          <w:p w14:paraId="1623C289" w14:textId="77777777" w:rsidR="00662E2D" w:rsidRPr="004E4AA7" w:rsidRDefault="00662E2D" w:rsidP="000D3B07">
            <w:pPr>
              <w:spacing w:before="120" w:after="120"/>
              <w:rPr>
                <w:color w:val="000000"/>
                <w:sz w:val="20"/>
                <w:szCs w:val="20"/>
              </w:rPr>
            </w:pPr>
            <w:r w:rsidRPr="004E4AA7">
              <w:rPr>
                <w:color w:val="000000"/>
                <w:sz w:val="20"/>
                <w:szCs w:val="20"/>
              </w:rPr>
              <w:t>Budowniczy wniosków</w:t>
            </w:r>
          </w:p>
        </w:tc>
        <w:tc>
          <w:tcPr>
            <w:tcW w:w="1560" w:type="dxa"/>
            <w:vAlign w:val="center"/>
          </w:tcPr>
          <w:p w14:paraId="74EAAF40"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6A520DE7" w14:textId="77777777" w:rsidR="00662E2D" w:rsidRPr="004E4AA7" w:rsidRDefault="00662E2D" w:rsidP="000D3B07">
            <w:pPr>
              <w:spacing w:before="120" w:after="120"/>
              <w:rPr>
                <w:color w:val="000000"/>
                <w:sz w:val="20"/>
                <w:szCs w:val="20"/>
              </w:rPr>
            </w:pPr>
            <w:r w:rsidRPr="004E4AA7">
              <w:rPr>
                <w:color w:val="000000"/>
                <w:sz w:val="20"/>
                <w:szCs w:val="20"/>
              </w:rPr>
              <w:t>krz-wnioski-builder</w:t>
            </w:r>
          </w:p>
        </w:tc>
      </w:tr>
    </w:tbl>
    <w:p w14:paraId="64AE0690"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68" w:name="_Toc68846760"/>
      <w:bookmarkStart w:id="169" w:name="_Toc69910645"/>
      <w:bookmarkStart w:id="170" w:name="_Toc70228173"/>
      <w:bookmarkStart w:id="171" w:name="_Toc68846761"/>
      <w:bookmarkStart w:id="172" w:name="_Toc69910646"/>
      <w:bookmarkStart w:id="173" w:name="_Toc70228174"/>
      <w:bookmarkStart w:id="174" w:name="_Toc115598602"/>
      <w:bookmarkStart w:id="175" w:name="_Toc134561938"/>
      <w:bookmarkStart w:id="176" w:name="_Toc63186223"/>
      <w:bookmarkStart w:id="177" w:name="_Toc61411025"/>
      <w:bookmarkStart w:id="178" w:name="_Toc63186249"/>
      <w:bookmarkEnd w:id="168"/>
      <w:bookmarkEnd w:id="169"/>
      <w:bookmarkEnd w:id="170"/>
      <w:bookmarkEnd w:id="171"/>
      <w:bookmarkEnd w:id="172"/>
      <w:bookmarkEnd w:id="173"/>
    </w:p>
    <w:p w14:paraId="4B75AD5A" w14:textId="66B5BA04"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Posiedzenia</w:t>
      </w:r>
      <w:bookmarkEnd w:id="174"/>
      <w:bookmarkEnd w:id="175"/>
    </w:p>
    <w:p w14:paraId="7C882664"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Posiedzenia</w:t>
      </w:r>
      <w:r w:rsidRPr="004E4AA7">
        <w:rPr>
          <w:sz w:val="20"/>
          <w:szCs w:val="20"/>
        </w:rPr>
        <w:t xml:space="preserve"> zawarte są następujące komponenty aplikacyjne:</w:t>
      </w:r>
    </w:p>
    <w:p w14:paraId="0E35BC39" w14:textId="19011BE8" w:rsidR="00662E2D" w:rsidRPr="004E4AA7" w:rsidRDefault="00662E2D" w:rsidP="000D3B07">
      <w:pPr>
        <w:pStyle w:val="Legenda"/>
        <w:spacing w:before="120" w:after="120"/>
        <w:rPr>
          <w:rFonts w:ascii="Times New Roman" w:hAnsi="Times New Roman"/>
          <w:sz w:val="20"/>
        </w:rPr>
      </w:pPr>
      <w:bookmarkStart w:id="179" w:name="_Toc115598861"/>
      <w:r w:rsidRPr="004E4AA7">
        <w:rPr>
          <w:rFonts w:ascii="Times New Roman" w:hAnsi="Times New Roman"/>
          <w:sz w:val="20"/>
        </w:rPr>
        <w:t xml:space="preserve">Tabela </w:t>
      </w:r>
      <w:r w:rsidR="00BA3750" w:rsidRPr="004E4AA7">
        <w:rPr>
          <w:rFonts w:ascii="Times New Roman" w:hAnsi="Times New Roman"/>
          <w:sz w:val="20"/>
        </w:rPr>
        <w:t>2</w:t>
      </w:r>
      <w:r w:rsidR="00664AD8" w:rsidRPr="004E4AA7">
        <w:rPr>
          <w:rFonts w:ascii="Times New Roman" w:hAnsi="Times New Roman"/>
          <w:sz w:val="20"/>
        </w:rPr>
        <w:t>0</w:t>
      </w:r>
      <w:r w:rsidRPr="004E4AA7">
        <w:rPr>
          <w:rFonts w:ascii="Times New Roman" w:hAnsi="Times New Roman"/>
          <w:sz w:val="20"/>
        </w:rPr>
        <w:t xml:space="preserve"> - Komponenty podsystemu Posiedzenia</w:t>
      </w:r>
      <w:bookmarkEnd w:id="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41BAB040"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E828DC8"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185F88A"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7B9C9986"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74BA7091" w14:textId="77777777" w:rsidTr="00BB6EDE">
        <w:trPr>
          <w:cantSplit/>
          <w:trHeight w:val="284"/>
          <w:tblHeader/>
          <w:jc w:val="center"/>
        </w:trPr>
        <w:tc>
          <w:tcPr>
            <w:tcW w:w="5098" w:type="dxa"/>
            <w:vAlign w:val="center"/>
          </w:tcPr>
          <w:p w14:paraId="320869C8" w14:textId="77777777" w:rsidR="00662E2D" w:rsidRPr="004E4AA7" w:rsidRDefault="00662E2D" w:rsidP="000D3B07">
            <w:pPr>
              <w:spacing w:before="120" w:after="120"/>
              <w:rPr>
                <w:sz w:val="20"/>
                <w:szCs w:val="20"/>
              </w:rPr>
            </w:pPr>
            <w:r w:rsidRPr="004E4AA7">
              <w:rPr>
                <w:color w:val="000000"/>
                <w:sz w:val="20"/>
                <w:szCs w:val="20"/>
              </w:rPr>
              <w:t>Usługi dot. planowania posiedzeń</w:t>
            </w:r>
          </w:p>
        </w:tc>
        <w:tc>
          <w:tcPr>
            <w:tcW w:w="1560" w:type="dxa"/>
            <w:vAlign w:val="center"/>
          </w:tcPr>
          <w:p w14:paraId="07CEF207"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2927BE40" w14:textId="77777777" w:rsidR="00662E2D" w:rsidRPr="004E4AA7" w:rsidRDefault="00662E2D" w:rsidP="000D3B07">
            <w:pPr>
              <w:spacing w:before="120" w:after="120"/>
              <w:rPr>
                <w:sz w:val="20"/>
                <w:szCs w:val="20"/>
              </w:rPr>
            </w:pPr>
            <w:r w:rsidRPr="004E4AA7">
              <w:rPr>
                <w:color w:val="000000"/>
                <w:sz w:val="20"/>
                <w:szCs w:val="20"/>
              </w:rPr>
              <w:t>krz-rozprawy-api</w:t>
            </w:r>
          </w:p>
        </w:tc>
      </w:tr>
      <w:tr w:rsidR="00662E2D" w:rsidRPr="004E4AA7" w14:paraId="3677026A" w14:textId="77777777" w:rsidTr="00BB6EDE">
        <w:trPr>
          <w:cantSplit/>
          <w:trHeight w:val="284"/>
          <w:tblHeader/>
          <w:jc w:val="center"/>
        </w:trPr>
        <w:tc>
          <w:tcPr>
            <w:tcW w:w="5098" w:type="dxa"/>
            <w:vAlign w:val="center"/>
          </w:tcPr>
          <w:p w14:paraId="2F7D6A48" w14:textId="77777777" w:rsidR="00662E2D" w:rsidRPr="004E4AA7" w:rsidRDefault="00662E2D" w:rsidP="000D3B07">
            <w:pPr>
              <w:spacing w:before="120" w:after="120"/>
              <w:rPr>
                <w:sz w:val="20"/>
                <w:szCs w:val="20"/>
              </w:rPr>
            </w:pPr>
            <w:r w:rsidRPr="004E4AA7">
              <w:rPr>
                <w:color w:val="000000"/>
                <w:sz w:val="20"/>
                <w:szCs w:val="20"/>
              </w:rPr>
              <w:t>Rejestracja, edycja i przeglądanie posiedzeń w postępowaniach wydziału</w:t>
            </w:r>
          </w:p>
        </w:tc>
        <w:tc>
          <w:tcPr>
            <w:tcW w:w="1560" w:type="dxa"/>
            <w:vAlign w:val="center"/>
          </w:tcPr>
          <w:p w14:paraId="79630C84"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67E42547" w14:textId="77777777" w:rsidR="00662E2D" w:rsidRPr="004E4AA7" w:rsidRDefault="00662E2D" w:rsidP="000D3B07">
            <w:pPr>
              <w:spacing w:before="120" w:after="120"/>
              <w:rPr>
                <w:sz w:val="20"/>
                <w:szCs w:val="20"/>
              </w:rPr>
            </w:pPr>
            <w:r w:rsidRPr="004E4AA7">
              <w:rPr>
                <w:color w:val="000000"/>
                <w:sz w:val="20"/>
                <w:szCs w:val="20"/>
              </w:rPr>
              <w:t>krz-rozprawy-gui</w:t>
            </w:r>
          </w:p>
        </w:tc>
      </w:tr>
    </w:tbl>
    <w:p w14:paraId="1E163235"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80" w:name="_Toc115598603"/>
      <w:bookmarkStart w:id="181" w:name="_Toc134561939"/>
    </w:p>
    <w:p w14:paraId="0EA46C62" w14:textId="5A984183"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Repertorium</w:t>
      </w:r>
      <w:bookmarkEnd w:id="180"/>
      <w:bookmarkEnd w:id="181"/>
    </w:p>
    <w:p w14:paraId="54DEB734"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Repertorium</w:t>
      </w:r>
      <w:r w:rsidRPr="004E4AA7">
        <w:rPr>
          <w:sz w:val="20"/>
          <w:szCs w:val="20"/>
        </w:rPr>
        <w:t xml:space="preserve"> zawarte są następujące komponenty aplikacyjne:</w:t>
      </w:r>
    </w:p>
    <w:p w14:paraId="7F272A4A" w14:textId="53E73BA1" w:rsidR="00662E2D" w:rsidRPr="004E4AA7" w:rsidRDefault="00662E2D" w:rsidP="000D3B07">
      <w:pPr>
        <w:pStyle w:val="Legenda"/>
        <w:spacing w:before="120" w:after="120"/>
        <w:rPr>
          <w:rFonts w:ascii="Times New Roman" w:hAnsi="Times New Roman"/>
          <w:sz w:val="20"/>
        </w:rPr>
      </w:pPr>
      <w:bookmarkStart w:id="182" w:name="_Toc115598864"/>
      <w:r w:rsidRPr="004E4AA7">
        <w:rPr>
          <w:rFonts w:ascii="Times New Roman" w:hAnsi="Times New Roman"/>
          <w:sz w:val="20"/>
        </w:rPr>
        <w:t xml:space="preserve">Tabela </w:t>
      </w:r>
      <w:r w:rsidR="00BA3750" w:rsidRPr="004E4AA7">
        <w:rPr>
          <w:rFonts w:ascii="Times New Roman" w:hAnsi="Times New Roman"/>
          <w:sz w:val="20"/>
        </w:rPr>
        <w:t>2</w:t>
      </w:r>
      <w:r w:rsidR="00664AD8" w:rsidRPr="004E4AA7">
        <w:rPr>
          <w:rFonts w:ascii="Times New Roman" w:hAnsi="Times New Roman"/>
          <w:sz w:val="20"/>
        </w:rPr>
        <w:t>1</w:t>
      </w:r>
      <w:r w:rsidRPr="004E4AA7">
        <w:rPr>
          <w:rFonts w:ascii="Times New Roman" w:hAnsi="Times New Roman"/>
          <w:sz w:val="20"/>
        </w:rPr>
        <w:t xml:space="preserve"> - Komponenty podsystemu Repertorium</w:t>
      </w:r>
      <w:bookmarkEnd w:id="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1EC67C4A"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1C8E685F"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E46D85C"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1EE6FEB7"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7BADD2AD" w14:textId="77777777" w:rsidTr="00BB6EDE">
        <w:trPr>
          <w:cantSplit/>
          <w:trHeight w:val="284"/>
          <w:tblHeader/>
          <w:jc w:val="center"/>
        </w:trPr>
        <w:tc>
          <w:tcPr>
            <w:tcW w:w="5098" w:type="dxa"/>
            <w:vAlign w:val="center"/>
          </w:tcPr>
          <w:p w14:paraId="3F9AD323" w14:textId="77777777" w:rsidR="00662E2D" w:rsidRPr="004E4AA7" w:rsidRDefault="00662E2D" w:rsidP="000D3B07">
            <w:pPr>
              <w:spacing w:before="120" w:after="120"/>
              <w:rPr>
                <w:sz w:val="20"/>
                <w:szCs w:val="20"/>
              </w:rPr>
            </w:pPr>
            <w:r w:rsidRPr="004E4AA7">
              <w:rPr>
                <w:color w:val="000000"/>
                <w:sz w:val="20"/>
                <w:szCs w:val="20"/>
              </w:rPr>
              <w:t>Usługi repertorium</w:t>
            </w:r>
          </w:p>
        </w:tc>
        <w:tc>
          <w:tcPr>
            <w:tcW w:w="1560" w:type="dxa"/>
            <w:vAlign w:val="center"/>
          </w:tcPr>
          <w:p w14:paraId="31A2BEA8"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4B78FDCF" w14:textId="77777777" w:rsidR="00662E2D" w:rsidRPr="004E4AA7" w:rsidRDefault="00662E2D" w:rsidP="000D3B07">
            <w:pPr>
              <w:spacing w:before="120" w:after="120"/>
              <w:rPr>
                <w:sz w:val="20"/>
                <w:szCs w:val="20"/>
              </w:rPr>
            </w:pPr>
            <w:r w:rsidRPr="004E4AA7">
              <w:rPr>
                <w:color w:val="000000"/>
                <w:sz w:val="20"/>
                <w:szCs w:val="20"/>
              </w:rPr>
              <w:t>krz-repertorium-api</w:t>
            </w:r>
          </w:p>
        </w:tc>
      </w:tr>
      <w:tr w:rsidR="00662E2D" w:rsidRPr="004E4AA7" w14:paraId="28281B43" w14:textId="77777777" w:rsidTr="00BB6EDE">
        <w:trPr>
          <w:cantSplit/>
          <w:trHeight w:val="284"/>
          <w:tblHeader/>
          <w:jc w:val="center"/>
        </w:trPr>
        <w:tc>
          <w:tcPr>
            <w:tcW w:w="5098" w:type="dxa"/>
            <w:vAlign w:val="center"/>
          </w:tcPr>
          <w:p w14:paraId="567826F0" w14:textId="77777777" w:rsidR="00662E2D" w:rsidRPr="004E4AA7" w:rsidRDefault="00662E2D" w:rsidP="000D3B07">
            <w:pPr>
              <w:spacing w:before="120" w:after="120"/>
              <w:rPr>
                <w:sz w:val="20"/>
                <w:szCs w:val="20"/>
              </w:rPr>
            </w:pPr>
            <w:r w:rsidRPr="004E4AA7">
              <w:rPr>
                <w:color w:val="000000"/>
                <w:sz w:val="20"/>
                <w:szCs w:val="20"/>
              </w:rPr>
              <w:t>Repertorium</w:t>
            </w:r>
          </w:p>
        </w:tc>
        <w:tc>
          <w:tcPr>
            <w:tcW w:w="1560" w:type="dxa"/>
            <w:vAlign w:val="center"/>
          </w:tcPr>
          <w:p w14:paraId="5A7ABB33"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316C7097" w14:textId="77777777" w:rsidR="00662E2D" w:rsidRPr="004E4AA7" w:rsidRDefault="00662E2D" w:rsidP="000D3B07">
            <w:pPr>
              <w:spacing w:before="120" w:after="120"/>
              <w:rPr>
                <w:sz w:val="20"/>
                <w:szCs w:val="20"/>
              </w:rPr>
            </w:pPr>
            <w:r w:rsidRPr="004E4AA7">
              <w:rPr>
                <w:color w:val="000000"/>
                <w:sz w:val="20"/>
                <w:szCs w:val="20"/>
              </w:rPr>
              <w:t>krz-repertorium-gui</w:t>
            </w:r>
          </w:p>
        </w:tc>
      </w:tr>
    </w:tbl>
    <w:p w14:paraId="1113E971"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83" w:name="_Toc134561940"/>
      <w:bookmarkStart w:id="184" w:name="_Toc115598604"/>
    </w:p>
    <w:p w14:paraId="25AA9AFB" w14:textId="68E76B80"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Kontrolki</w:t>
      </w:r>
      <w:bookmarkEnd w:id="183"/>
    </w:p>
    <w:p w14:paraId="1D084728"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Kontrolki</w:t>
      </w:r>
      <w:r w:rsidRPr="004E4AA7">
        <w:rPr>
          <w:sz w:val="20"/>
          <w:szCs w:val="20"/>
        </w:rPr>
        <w:t xml:space="preserve"> zawarte są następujące komponenty aplikacyjne:</w:t>
      </w:r>
    </w:p>
    <w:p w14:paraId="619E974E" w14:textId="4CDD001F" w:rsidR="00662E2D" w:rsidRPr="004E4AA7" w:rsidRDefault="00662E2D" w:rsidP="000D3B07">
      <w:pPr>
        <w:pStyle w:val="Legenda"/>
        <w:spacing w:before="120" w:after="120"/>
        <w:rPr>
          <w:rFonts w:ascii="Times New Roman" w:hAnsi="Times New Roman"/>
          <w:sz w:val="20"/>
        </w:rPr>
      </w:pPr>
      <w:r w:rsidRPr="004E4AA7">
        <w:rPr>
          <w:rFonts w:ascii="Times New Roman" w:hAnsi="Times New Roman"/>
          <w:sz w:val="20"/>
        </w:rPr>
        <w:lastRenderedPageBreak/>
        <w:t xml:space="preserve">Tabela </w:t>
      </w:r>
      <w:r w:rsidR="00BA3750" w:rsidRPr="004E4AA7">
        <w:rPr>
          <w:rFonts w:ascii="Times New Roman" w:hAnsi="Times New Roman"/>
          <w:sz w:val="20"/>
        </w:rPr>
        <w:t>2</w:t>
      </w:r>
      <w:r w:rsidR="00664AD8" w:rsidRPr="004E4AA7">
        <w:rPr>
          <w:rFonts w:ascii="Times New Roman" w:hAnsi="Times New Roman"/>
          <w:sz w:val="20"/>
        </w:rPr>
        <w:t>2</w:t>
      </w:r>
      <w:r w:rsidRPr="004E4AA7">
        <w:rPr>
          <w:rFonts w:ascii="Times New Roman" w:hAnsi="Times New Roman"/>
          <w:sz w:val="20"/>
        </w:rPr>
        <w:t xml:space="preserve"> - Komponenty podsystemu Kontrolki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7ECB75EB"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1C1F7A02"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E985D10"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63733D0"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0A6FD0E0" w14:textId="77777777" w:rsidTr="00BB6EDE">
        <w:trPr>
          <w:cantSplit/>
          <w:trHeight w:val="284"/>
          <w:tblHeader/>
          <w:jc w:val="center"/>
        </w:trPr>
        <w:tc>
          <w:tcPr>
            <w:tcW w:w="5098" w:type="dxa"/>
            <w:vAlign w:val="center"/>
          </w:tcPr>
          <w:p w14:paraId="5E77C3E3" w14:textId="77777777" w:rsidR="00662E2D" w:rsidRPr="004E4AA7" w:rsidRDefault="00662E2D" w:rsidP="000D3B07">
            <w:pPr>
              <w:spacing w:before="120" w:after="120"/>
              <w:rPr>
                <w:sz w:val="20"/>
                <w:szCs w:val="20"/>
              </w:rPr>
            </w:pPr>
            <w:r w:rsidRPr="004E4AA7">
              <w:rPr>
                <w:color w:val="000000"/>
                <w:sz w:val="20"/>
                <w:szCs w:val="20"/>
              </w:rPr>
              <w:t>Usługi repertorium</w:t>
            </w:r>
          </w:p>
        </w:tc>
        <w:tc>
          <w:tcPr>
            <w:tcW w:w="1560" w:type="dxa"/>
            <w:vAlign w:val="center"/>
          </w:tcPr>
          <w:p w14:paraId="33A2BDB2"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center"/>
          </w:tcPr>
          <w:p w14:paraId="05543487" w14:textId="77777777" w:rsidR="00662E2D" w:rsidRPr="004E4AA7" w:rsidRDefault="00662E2D" w:rsidP="000D3B07">
            <w:pPr>
              <w:spacing w:before="120" w:after="120"/>
              <w:rPr>
                <w:sz w:val="20"/>
                <w:szCs w:val="20"/>
              </w:rPr>
            </w:pPr>
            <w:r w:rsidRPr="004E4AA7">
              <w:rPr>
                <w:color w:val="000000"/>
                <w:sz w:val="20"/>
                <w:szCs w:val="20"/>
              </w:rPr>
              <w:t>krz-kontrolki_api</w:t>
            </w:r>
          </w:p>
        </w:tc>
      </w:tr>
      <w:tr w:rsidR="00662E2D" w:rsidRPr="004E4AA7" w14:paraId="1CA30E09" w14:textId="77777777" w:rsidTr="00BB6EDE">
        <w:trPr>
          <w:cantSplit/>
          <w:trHeight w:val="284"/>
          <w:tblHeader/>
          <w:jc w:val="center"/>
        </w:trPr>
        <w:tc>
          <w:tcPr>
            <w:tcW w:w="5098" w:type="dxa"/>
            <w:vAlign w:val="center"/>
          </w:tcPr>
          <w:p w14:paraId="7EACCCD4" w14:textId="77777777" w:rsidR="00662E2D" w:rsidRPr="004E4AA7" w:rsidRDefault="00662E2D" w:rsidP="000D3B07">
            <w:pPr>
              <w:spacing w:before="120" w:after="120"/>
              <w:rPr>
                <w:sz w:val="20"/>
                <w:szCs w:val="20"/>
              </w:rPr>
            </w:pPr>
            <w:r w:rsidRPr="004E4AA7">
              <w:rPr>
                <w:color w:val="000000"/>
                <w:sz w:val="20"/>
                <w:szCs w:val="20"/>
              </w:rPr>
              <w:t>Repertorium</w:t>
            </w:r>
          </w:p>
        </w:tc>
        <w:tc>
          <w:tcPr>
            <w:tcW w:w="1560" w:type="dxa"/>
            <w:vAlign w:val="center"/>
          </w:tcPr>
          <w:p w14:paraId="463AEEB4" w14:textId="77777777" w:rsidR="00662E2D" w:rsidRPr="004E4AA7" w:rsidRDefault="00662E2D" w:rsidP="000D3B07">
            <w:pPr>
              <w:spacing w:before="120" w:after="120"/>
              <w:rPr>
                <w:sz w:val="20"/>
                <w:szCs w:val="20"/>
              </w:rPr>
            </w:pPr>
            <w:r w:rsidRPr="004E4AA7">
              <w:rPr>
                <w:color w:val="000000"/>
                <w:sz w:val="20"/>
                <w:szCs w:val="20"/>
              </w:rPr>
              <w:t>GUI</w:t>
            </w:r>
          </w:p>
        </w:tc>
        <w:tc>
          <w:tcPr>
            <w:tcW w:w="2404" w:type="dxa"/>
            <w:vAlign w:val="center"/>
          </w:tcPr>
          <w:p w14:paraId="5DE45BCF" w14:textId="77777777" w:rsidR="00662E2D" w:rsidRPr="004E4AA7" w:rsidRDefault="00662E2D" w:rsidP="000D3B07">
            <w:pPr>
              <w:spacing w:before="120" w:after="120"/>
              <w:rPr>
                <w:sz w:val="20"/>
                <w:szCs w:val="20"/>
              </w:rPr>
            </w:pPr>
            <w:r w:rsidRPr="004E4AA7">
              <w:rPr>
                <w:color w:val="000000"/>
                <w:sz w:val="20"/>
                <w:szCs w:val="20"/>
              </w:rPr>
              <w:t>krz-kontrolki-gui</w:t>
            </w:r>
          </w:p>
        </w:tc>
      </w:tr>
    </w:tbl>
    <w:p w14:paraId="0B9FBC10"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p>
    <w:p w14:paraId="365E3015" w14:textId="555A7DFA"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Teryt</w:t>
      </w:r>
      <w:bookmarkEnd w:id="176"/>
      <w:bookmarkEnd w:id="184"/>
    </w:p>
    <w:p w14:paraId="5667740A"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Teryt</w:t>
      </w:r>
      <w:r w:rsidRPr="004E4AA7">
        <w:rPr>
          <w:sz w:val="20"/>
          <w:szCs w:val="20"/>
        </w:rPr>
        <w:t xml:space="preserve"> zawarte są następujące komponenty aplikacyjne:</w:t>
      </w:r>
    </w:p>
    <w:p w14:paraId="59DB7860" w14:textId="352CEA64" w:rsidR="00662E2D" w:rsidRPr="004E4AA7" w:rsidRDefault="00662E2D" w:rsidP="000D3B07">
      <w:pPr>
        <w:pStyle w:val="Legenda"/>
        <w:spacing w:before="120" w:after="120"/>
        <w:rPr>
          <w:rFonts w:ascii="Times New Roman" w:hAnsi="Times New Roman"/>
          <w:sz w:val="20"/>
        </w:rPr>
      </w:pPr>
      <w:bookmarkStart w:id="185" w:name="_Toc115598867"/>
      <w:r w:rsidRPr="004E4AA7">
        <w:rPr>
          <w:rFonts w:ascii="Times New Roman" w:hAnsi="Times New Roman"/>
          <w:sz w:val="20"/>
        </w:rPr>
        <w:t xml:space="preserve">Tabela </w:t>
      </w:r>
      <w:r w:rsidR="00664AD8" w:rsidRPr="004E4AA7">
        <w:rPr>
          <w:rFonts w:ascii="Times New Roman" w:hAnsi="Times New Roman"/>
          <w:sz w:val="20"/>
        </w:rPr>
        <w:t>23</w:t>
      </w:r>
      <w:r w:rsidRPr="004E4AA7">
        <w:rPr>
          <w:rFonts w:ascii="Times New Roman" w:hAnsi="Times New Roman"/>
          <w:sz w:val="20"/>
        </w:rPr>
        <w:t xml:space="preserve"> - Komponenty podsystemu Teryt</w:t>
      </w:r>
      <w:bookmarkEnd w:id="1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415"/>
        <w:gridCol w:w="1977"/>
      </w:tblGrid>
      <w:tr w:rsidR="00662E2D" w:rsidRPr="004E4AA7" w14:paraId="4CE83864" w14:textId="77777777" w:rsidTr="00BB6EDE">
        <w:trPr>
          <w:cantSplit/>
          <w:trHeight w:val="284"/>
          <w:tblHeader/>
          <w:jc w:val="center"/>
        </w:trPr>
        <w:tc>
          <w:tcPr>
            <w:tcW w:w="5670"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3A5E56C"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415"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E5F4551"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1977"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7F2E92D"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7056BB44" w14:textId="77777777" w:rsidTr="00BB6EDE">
        <w:trPr>
          <w:cantSplit/>
          <w:trHeight w:val="284"/>
          <w:tblHeader/>
          <w:jc w:val="center"/>
        </w:trPr>
        <w:tc>
          <w:tcPr>
            <w:tcW w:w="5670" w:type="dxa"/>
            <w:vAlign w:val="center"/>
          </w:tcPr>
          <w:p w14:paraId="03C83464" w14:textId="77777777" w:rsidR="00662E2D" w:rsidRPr="004E4AA7" w:rsidRDefault="00662E2D" w:rsidP="000D3B07">
            <w:pPr>
              <w:spacing w:before="120" w:after="120"/>
              <w:rPr>
                <w:sz w:val="20"/>
                <w:szCs w:val="20"/>
              </w:rPr>
            </w:pPr>
            <w:r w:rsidRPr="004E4AA7">
              <w:rPr>
                <w:color w:val="000000"/>
                <w:sz w:val="20"/>
                <w:szCs w:val="20"/>
              </w:rPr>
              <w:t>Składnica zbioru rejestru TERYT</w:t>
            </w:r>
          </w:p>
        </w:tc>
        <w:tc>
          <w:tcPr>
            <w:tcW w:w="1415" w:type="dxa"/>
            <w:vAlign w:val="center"/>
          </w:tcPr>
          <w:p w14:paraId="328E8E8F" w14:textId="77777777" w:rsidR="00662E2D" w:rsidRPr="004E4AA7" w:rsidRDefault="00662E2D" w:rsidP="000D3B07">
            <w:pPr>
              <w:spacing w:before="120" w:after="120"/>
              <w:rPr>
                <w:sz w:val="20"/>
                <w:szCs w:val="20"/>
              </w:rPr>
            </w:pPr>
            <w:r w:rsidRPr="004E4AA7">
              <w:rPr>
                <w:color w:val="000000"/>
                <w:sz w:val="20"/>
                <w:szCs w:val="20"/>
              </w:rPr>
              <w:t>Service</w:t>
            </w:r>
          </w:p>
        </w:tc>
        <w:tc>
          <w:tcPr>
            <w:tcW w:w="1977" w:type="dxa"/>
            <w:vAlign w:val="center"/>
          </w:tcPr>
          <w:p w14:paraId="21FFE090" w14:textId="77777777" w:rsidR="00662E2D" w:rsidRPr="004E4AA7" w:rsidRDefault="00662E2D" w:rsidP="000D3B07">
            <w:pPr>
              <w:spacing w:before="120" w:after="120"/>
              <w:rPr>
                <w:sz w:val="20"/>
                <w:szCs w:val="20"/>
              </w:rPr>
            </w:pPr>
            <w:r w:rsidRPr="004E4AA7">
              <w:rPr>
                <w:color w:val="000000"/>
                <w:sz w:val="20"/>
                <w:szCs w:val="20"/>
              </w:rPr>
              <w:t>krz-teryt</w:t>
            </w:r>
          </w:p>
        </w:tc>
      </w:tr>
    </w:tbl>
    <w:p w14:paraId="13394F79"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86" w:name="_Toc115598605"/>
      <w:bookmarkStart w:id="187" w:name="_Toc134561941"/>
    </w:p>
    <w:p w14:paraId="4A5B206E" w14:textId="1728CC7B"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Lista zadań</w:t>
      </w:r>
      <w:bookmarkEnd w:id="186"/>
      <w:bookmarkEnd w:id="187"/>
    </w:p>
    <w:p w14:paraId="24F7F833"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Lista zadań </w:t>
      </w:r>
      <w:r w:rsidRPr="004E4AA7">
        <w:rPr>
          <w:sz w:val="20"/>
          <w:szCs w:val="20"/>
        </w:rPr>
        <w:t>zawarte są następujące komponenty aplikacyjne:</w:t>
      </w:r>
    </w:p>
    <w:p w14:paraId="57F98701" w14:textId="5FCB2CCF" w:rsidR="00662E2D" w:rsidRPr="004E4AA7" w:rsidRDefault="00662E2D" w:rsidP="000D3B07">
      <w:pPr>
        <w:pStyle w:val="Legenda"/>
        <w:spacing w:before="120" w:after="120"/>
        <w:rPr>
          <w:rFonts w:ascii="Times New Roman" w:hAnsi="Times New Roman"/>
          <w:sz w:val="20"/>
        </w:rPr>
      </w:pPr>
      <w:bookmarkStart w:id="188" w:name="_Toc115598869"/>
      <w:r w:rsidRPr="004E4AA7">
        <w:rPr>
          <w:rFonts w:ascii="Times New Roman" w:hAnsi="Times New Roman"/>
          <w:sz w:val="20"/>
        </w:rPr>
        <w:t xml:space="preserve">Tabela </w:t>
      </w:r>
      <w:r w:rsidR="00BA3750" w:rsidRPr="004E4AA7">
        <w:rPr>
          <w:rFonts w:ascii="Times New Roman" w:hAnsi="Times New Roman"/>
          <w:sz w:val="20"/>
        </w:rPr>
        <w:t>2</w:t>
      </w:r>
      <w:r w:rsidR="00664AD8" w:rsidRPr="004E4AA7">
        <w:rPr>
          <w:rFonts w:ascii="Times New Roman" w:hAnsi="Times New Roman"/>
          <w:sz w:val="20"/>
        </w:rPr>
        <w:t>5</w:t>
      </w:r>
      <w:r w:rsidRPr="004E4AA7">
        <w:rPr>
          <w:rFonts w:ascii="Times New Roman" w:hAnsi="Times New Roman"/>
          <w:sz w:val="20"/>
        </w:rPr>
        <w:t xml:space="preserve"> - Komponenty Lista zadań</w:t>
      </w:r>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5A8B6CCB"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1ABD2056"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48E3717"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3EE461DF"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7F2BA0FC" w14:textId="77777777" w:rsidTr="00BB6EDE">
        <w:trPr>
          <w:cantSplit/>
          <w:trHeight w:val="284"/>
          <w:tblHeader/>
          <w:jc w:val="center"/>
        </w:trPr>
        <w:tc>
          <w:tcPr>
            <w:tcW w:w="5098" w:type="dxa"/>
            <w:vAlign w:val="center"/>
          </w:tcPr>
          <w:p w14:paraId="31D99E35" w14:textId="77777777" w:rsidR="00662E2D" w:rsidRPr="004E4AA7" w:rsidRDefault="00662E2D" w:rsidP="000D3B07">
            <w:pPr>
              <w:spacing w:before="120" w:after="120"/>
              <w:rPr>
                <w:color w:val="000000"/>
                <w:sz w:val="20"/>
                <w:szCs w:val="20"/>
              </w:rPr>
            </w:pPr>
            <w:r w:rsidRPr="004E4AA7">
              <w:rPr>
                <w:color w:val="000000"/>
                <w:sz w:val="20"/>
                <w:szCs w:val="20"/>
              </w:rPr>
              <w:t>Usługi publiczne listy zadań</w:t>
            </w:r>
          </w:p>
        </w:tc>
        <w:tc>
          <w:tcPr>
            <w:tcW w:w="1560" w:type="dxa"/>
            <w:vAlign w:val="center"/>
          </w:tcPr>
          <w:p w14:paraId="049737C4"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38430BE2" w14:textId="77777777" w:rsidR="00662E2D" w:rsidRPr="004E4AA7" w:rsidRDefault="00662E2D" w:rsidP="000D3B07">
            <w:pPr>
              <w:spacing w:before="120" w:after="120"/>
              <w:rPr>
                <w:color w:val="000000"/>
                <w:sz w:val="20"/>
                <w:szCs w:val="20"/>
              </w:rPr>
            </w:pPr>
            <w:r w:rsidRPr="004E4AA7">
              <w:rPr>
                <w:color w:val="000000"/>
                <w:sz w:val="20"/>
                <w:szCs w:val="20"/>
              </w:rPr>
              <w:t>liza-task-commands-api</w:t>
            </w:r>
          </w:p>
        </w:tc>
      </w:tr>
      <w:tr w:rsidR="00662E2D" w:rsidRPr="004E4AA7" w14:paraId="506F8B3A" w14:textId="77777777" w:rsidTr="00BB6EDE">
        <w:trPr>
          <w:cantSplit/>
          <w:trHeight w:val="284"/>
          <w:tblHeader/>
          <w:jc w:val="center"/>
        </w:trPr>
        <w:tc>
          <w:tcPr>
            <w:tcW w:w="5098" w:type="dxa"/>
            <w:vAlign w:val="center"/>
          </w:tcPr>
          <w:p w14:paraId="47CBD31D" w14:textId="77777777" w:rsidR="00662E2D" w:rsidRPr="004E4AA7" w:rsidRDefault="00662E2D" w:rsidP="000D3B07">
            <w:pPr>
              <w:spacing w:before="120" w:after="120"/>
              <w:rPr>
                <w:color w:val="000000"/>
                <w:sz w:val="20"/>
                <w:szCs w:val="20"/>
              </w:rPr>
            </w:pPr>
            <w:r w:rsidRPr="004E4AA7">
              <w:rPr>
                <w:color w:val="000000"/>
                <w:sz w:val="20"/>
                <w:szCs w:val="20"/>
              </w:rPr>
              <w:t>Lista zadań</w:t>
            </w:r>
          </w:p>
        </w:tc>
        <w:tc>
          <w:tcPr>
            <w:tcW w:w="1560" w:type="dxa"/>
            <w:vAlign w:val="center"/>
          </w:tcPr>
          <w:p w14:paraId="716EEB34"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2404" w:type="dxa"/>
            <w:vAlign w:val="center"/>
          </w:tcPr>
          <w:p w14:paraId="47422AC4" w14:textId="77777777" w:rsidR="00662E2D" w:rsidRPr="004E4AA7" w:rsidRDefault="00662E2D" w:rsidP="000D3B07">
            <w:pPr>
              <w:spacing w:before="120" w:after="120"/>
              <w:rPr>
                <w:color w:val="000000"/>
                <w:sz w:val="20"/>
                <w:szCs w:val="20"/>
              </w:rPr>
            </w:pPr>
            <w:r w:rsidRPr="004E4AA7">
              <w:rPr>
                <w:color w:val="000000"/>
                <w:sz w:val="20"/>
                <w:szCs w:val="20"/>
              </w:rPr>
              <w:t>liza-task-list-gui</w:t>
            </w:r>
          </w:p>
        </w:tc>
      </w:tr>
      <w:tr w:rsidR="00662E2D" w:rsidRPr="004E4AA7" w14:paraId="2C6EE762" w14:textId="77777777" w:rsidTr="00BB6EDE">
        <w:trPr>
          <w:cantSplit/>
          <w:trHeight w:val="284"/>
          <w:tblHeader/>
          <w:jc w:val="center"/>
        </w:trPr>
        <w:tc>
          <w:tcPr>
            <w:tcW w:w="5098" w:type="dxa"/>
            <w:vAlign w:val="center"/>
          </w:tcPr>
          <w:p w14:paraId="623D0ABB" w14:textId="77777777" w:rsidR="00662E2D" w:rsidRPr="004E4AA7" w:rsidRDefault="00662E2D" w:rsidP="000D3B07">
            <w:pPr>
              <w:spacing w:before="120" w:after="120"/>
              <w:rPr>
                <w:color w:val="000000"/>
                <w:sz w:val="20"/>
                <w:szCs w:val="20"/>
              </w:rPr>
            </w:pPr>
            <w:r w:rsidRPr="004E4AA7">
              <w:rPr>
                <w:color w:val="000000"/>
                <w:sz w:val="20"/>
                <w:szCs w:val="20"/>
              </w:rPr>
              <w:t>Powiadomienia i synchronizacje</w:t>
            </w:r>
          </w:p>
        </w:tc>
        <w:tc>
          <w:tcPr>
            <w:tcW w:w="1560" w:type="dxa"/>
            <w:vAlign w:val="center"/>
          </w:tcPr>
          <w:p w14:paraId="5AD19FE4"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36EFE69D" w14:textId="77777777" w:rsidR="00662E2D" w:rsidRPr="004E4AA7" w:rsidRDefault="00662E2D" w:rsidP="000D3B07">
            <w:pPr>
              <w:spacing w:before="120" w:after="120"/>
              <w:rPr>
                <w:color w:val="000000"/>
                <w:sz w:val="20"/>
                <w:szCs w:val="20"/>
              </w:rPr>
            </w:pPr>
            <w:r w:rsidRPr="004E4AA7">
              <w:rPr>
                <w:color w:val="000000"/>
                <w:sz w:val="20"/>
                <w:szCs w:val="20"/>
              </w:rPr>
              <w:t>liza-task-notification</w:t>
            </w:r>
          </w:p>
        </w:tc>
      </w:tr>
      <w:tr w:rsidR="00662E2D" w:rsidRPr="004E4AA7" w14:paraId="3E2D52AC" w14:textId="77777777" w:rsidTr="00BB6EDE">
        <w:trPr>
          <w:cantSplit/>
          <w:trHeight w:val="284"/>
          <w:tblHeader/>
          <w:jc w:val="center"/>
        </w:trPr>
        <w:tc>
          <w:tcPr>
            <w:tcW w:w="5098" w:type="dxa"/>
            <w:vAlign w:val="center"/>
          </w:tcPr>
          <w:p w14:paraId="35AF65FB" w14:textId="77777777" w:rsidR="00662E2D" w:rsidRPr="004E4AA7" w:rsidRDefault="00662E2D" w:rsidP="000D3B07">
            <w:pPr>
              <w:spacing w:before="120" w:after="120"/>
              <w:rPr>
                <w:color w:val="000000"/>
                <w:sz w:val="20"/>
                <w:szCs w:val="20"/>
              </w:rPr>
            </w:pPr>
            <w:r w:rsidRPr="004E4AA7">
              <w:rPr>
                <w:color w:val="000000"/>
                <w:sz w:val="20"/>
                <w:szCs w:val="20"/>
              </w:rPr>
              <w:t>Procesor zadań</w:t>
            </w:r>
          </w:p>
        </w:tc>
        <w:tc>
          <w:tcPr>
            <w:tcW w:w="1560" w:type="dxa"/>
            <w:vAlign w:val="center"/>
          </w:tcPr>
          <w:p w14:paraId="24E81DAF"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77C791B2" w14:textId="77777777" w:rsidR="00662E2D" w:rsidRPr="004E4AA7" w:rsidRDefault="00662E2D" w:rsidP="000D3B07">
            <w:pPr>
              <w:spacing w:before="120" w:after="120"/>
              <w:rPr>
                <w:color w:val="000000"/>
                <w:sz w:val="20"/>
                <w:szCs w:val="20"/>
              </w:rPr>
            </w:pPr>
            <w:r w:rsidRPr="004E4AA7">
              <w:rPr>
                <w:color w:val="000000"/>
                <w:sz w:val="20"/>
                <w:szCs w:val="20"/>
              </w:rPr>
              <w:t>liza-task-processor</w:t>
            </w:r>
          </w:p>
        </w:tc>
      </w:tr>
      <w:tr w:rsidR="00662E2D" w:rsidRPr="004E4AA7" w14:paraId="24444B76" w14:textId="77777777" w:rsidTr="00BB6EDE">
        <w:trPr>
          <w:cantSplit/>
          <w:trHeight w:val="284"/>
          <w:tblHeader/>
          <w:jc w:val="center"/>
        </w:trPr>
        <w:tc>
          <w:tcPr>
            <w:tcW w:w="5098" w:type="dxa"/>
            <w:vAlign w:val="center"/>
          </w:tcPr>
          <w:p w14:paraId="6BC977CF" w14:textId="77777777" w:rsidR="00662E2D" w:rsidRPr="004E4AA7" w:rsidRDefault="00662E2D" w:rsidP="000D3B07">
            <w:pPr>
              <w:spacing w:before="120" w:after="120"/>
              <w:rPr>
                <w:color w:val="000000"/>
                <w:sz w:val="20"/>
                <w:szCs w:val="20"/>
              </w:rPr>
            </w:pPr>
            <w:r w:rsidRPr="004E4AA7">
              <w:rPr>
                <w:color w:val="000000"/>
                <w:sz w:val="20"/>
                <w:szCs w:val="20"/>
              </w:rPr>
              <w:t>Usługi wewnętrzne listy zadań</w:t>
            </w:r>
          </w:p>
        </w:tc>
        <w:tc>
          <w:tcPr>
            <w:tcW w:w="1560" w:type="dxa"/>
            <w:vAlign w:val="center"/>
          </w:tcPr>
          <w:p w14:paraId="2B062C8C"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26E7C383" w14:textId="77777777" w:rsidR="00662E2D" w:rsidRPr="004E4AA7" w:rsidRDefault="00662E2D" w:rsidP="000D3B07">
            <w:pPr>
              <w:spacing w:before="120" w:after="120"/>
              <w:rPr>
                <w:color w:val="000000"/>
                <w:sz w:val="20"/>
                <w:szCs w:val="20"/>
              </w:rPr>
            </w:pPr>
            <w:r w:rsidRPr="004E4AA7">
              <w:rPr>
                <w:color w:val="000000"/>
                <w:sz w:val="20"/>
                <w:szCs w:val="20"/>
              </w:rPr>
              <w:t>liza-task-query-api</w:t>
            </w:r>
          </w:p>
        </w:tc>
      </w:tr>
      <w:tr w:rsidR="00662E2D" w:rsidRPr="004E4AA7" w14:paraId="25979F30" w14:textId="77777777" w:rsidTr="00BB6EDE">
        <w:trPr>
          <w:cantSplit/>
          <w:trHeight w:val="284"/>
          <w:tblHeader/>
          <w:jc w:val="center"/>
        </w:trPr>
        <w:tc>
          <w:tcPr>
            <w:tcW w:w="5098" w:type="dxa"/>
            <w:vAlign w:val="center"/>
          </w:tcPr>
          <w:p w14:paraId="6B0FC3A8" w14:textId="77777777" w:rsidR="00662E2D" w:rsidRPr="004E4AA7" w:rsidRDefault="00662E2D" w:rsidP="000D3B07">
            <w:pPr>
              <w:spacing w:before="120" w:after="120"/>
              <w:rPr>
                <w:color w:val="000000"/>
                <w:sz w:val="20"/>
                <w:szCs w:val="20"/>
              </w:rPr>
            </w:pPr>
            <w:r w:rsidRPr="004E4AA7">
              <w:rPr>
                <w:color w:val="000000"/>
                <w:sz w:val="20"/>
                <w:szCs w:val="20"/>
              </w:rPr>
              <w:t>Przypomnienia do zadań</w:t>
            </w:r>
          </w:p>
        </w:tc>
        <w:tc>
          <w:tcPr>
            <w:tcW w:w="1560" w:type="dxa"/>
            <w:vAlign w:val="center"/>
          </w:tcPr>
          <w:p w14:paraId="56D20369"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51D9A4E4" w14:textId="77777777" w:rsidR="00662E2D" w:rsidRPr="004E4AA7" w:rsidRDefault="00662E2D" w:rsidP="000D3B07">
            <w:pPr>
              <w:spacing w:before="120" w:after="120"/>
              <w:rPr>
                <w:color w:val="000000"/>
                <w:sz w:val="20"/>
                <w:szCs w:val="20"/>
              </w:rPr>
            </w:pPr>
            <w:r w:rsidRPr="004E4AA7">
              <w:rPr>
                <w:color w:val="000000"/>
                <w:sz w:val="20"/>
                <w:szCs w:val="20"/>
              </w:rPr>
              <w:t>liza-task-reminder</w:t>
            </w:r>
          </w:p>
        </w:tc>
      </w:tr>
    </w:tbl>
    <w:p w14:paraId="06D4E36A"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89" w:name="_Toc115598606"/>
      <w:bookmarkStart w:id="190" w:name="_Toc134561942"/>
    </w:p>
    <w:p w14:paraId="44C2BE8B" w14:textId="1082D93E"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Adaptery systemów</w:t>
      </w:r>
      <w:bookmarkEnd w:id="177"/>
      <w:bookmarkEnd w:id="178"/>
      <w:bookmarkEnd w:id="189"/>
      <w:bookmarkEnd w:id="190"/>
    </w:p>
    <w:p w14:paraId="7E14A69F"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Adaptery systemów</w:t>
      </w:r>
      <w:r w:rsidRPr="004E4AA7">
        <w:rPr>
          <w:sz w:val="20"/>
          <w:szCs w:val="20"/>
        </w:rPr>
        <w:t xml:space="preserve"> zawarte są następujące komponenty aplikacyjne:</w:t>
      </w:r>
    </w:p>
    <w:p w14:paraId="79491094" w14:textId="15F1CDEF" w:rsidR="00662E2D" w:rsidRPr="004E4AA7" w:rsidRDefault="00662E2D" w:rsidP="000D3B07">
      <w:pPr>
        <w:pStyle w:val="Legenda"/>
        <w:spacing w:before="120" w:after="120"/>
        <w:rPr>
          <w:rFonts w:ascii="Times New Roman" w:hAnsi="Times New Roman"/>
          <w:sz w:val="20"/>
        </w:rPr>
      </w:pPr>
      <w:bookmarkStart w:id="191" w:name="_Toc115598876"/>
      <w:r w:rsidRPr="004E4AA7">
        <w:rPr>
          <w:rFonts w:ascii="Times New Roman" w:hAnsi="Times New Roman"/>
          <w:sz w:val="20"/>
        </w:rPr>
        <w:lastRenderedPageBreak/>
        <w:t xml:space="preserve">Tabela </w:t>
      </w:r>
      <w:r w:rsidR="00BA3750" w:rsidRPr="004E4AA7">
        <w:rPr>
          <w:rFonts w:ascii="Times New Roman" w:hAnsi="Times New Roman"/>
          <w:sz w:val="20"/>
        </w:rPr>
        <w:t>2</w:t>
      </w:r>
      <w:r w:rsidR="00664AD8" w:rsidRPr="004E4AA7">
        <w:rPr>
          <w:rFonts w:ascii="Times New Roman" w:hAnsi="Times New Roman"/>
          <w:sz w:val="20"/>
        </w:rPr>
        <w:t>4</w:t>
      </w:r>
      <w:r w:rsidRPr="004E4AA7">
        <w:rPr>
          <w:rFonts w:ascii="Times New Roman" w:hAnsi="Times New Roman"/>
          <w:sz w:val="20"/>
        </w:rPr>
        <w:t xml:space="preserve"> - Adaptery systemów</w:t>
      </w:r>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63E30DD6"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30DF07C"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8CF7C1E"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5AD97825"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666FB1A" w14:textId="77777777" w:rsidTr="00BB6EDE">
        <w:trPr>
          <w:cantSplit/>
          <w:trHeight w:val="284"/>
          <w:tblHeader/>
          <w:jc w:val="center"/>
        </w:trPr>
        <w:tc>
          <w:tcPr>
            <w:tcW w:w="5098" w:type="dxa"/>
            <w:vAlign w:val="center"/>
          </w:tcPr>
          <w:p w14:paraId="1896C840" w14:textId="77777777" w:rsidR="00662E2D" w:rsidRPr="004E4AA7" w:rsidRDefault="00662E2D" w:rsidP="000D3B07">
            <w:pPr>
              <w:spacing w:before="120" w:after="120"/>
              <w:rPr>
                <w:sz w:val="20"/>
                <w:szCs w:val="20"/>
              </w:rPr>
            </w:pPr>
            <w:r w:rsidRPr="004E4AA7">
              <w:rPr>
                <w:color w:val="000000"/>
                <w:sz w:val="20"/>
                <w:szCs w:val="20"/>
              </w:rPr>
              <w:t>KEP Adapter</w:t>
            </w:r>
          </w:p>
        </w:tc>
        <w:tc>
          <w:tcPr>
            <w:tcW w:w="1560" w:type="dxa"/>
            <w:vAlign w:val="center"/>
          </w:tcPr>
          <w:p w14:paraId="6B8CFC3D"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bottom"/>
          </w:tcPr>
          <w:p w14:paraId="1AB5AAD2" w14:textId="77777777" w:rsidR="00662E2D" w:rsidRPr="004E4AA7" w:rsidRDefault="00662E2D" w:rsidP="000D3B07">
            <w:pPr>
              <w:spacing w:before="120" w:after="120"/>
              <w:rPr>
                <w:sz w:val="20"/>
                <w:szCs w:val="20"/>
              </w:rPr>
            </w:pPr>
            <w:r w:rsidRPr="004E4AA7">
              <w:rPr>
                <w:color w:val="000000"/>
                <w:sz w:val="20"/>
                <w:szCs w:val="20"/>
              </w:rPr>
              <w:t>kep-adapter</w:t>
            </w:r>
          </w:p>
        </w:tc>
      </w:tr>
      <w:tr w:rsidR="00662E2D" w:rsidRPr="004E4AA7" w14:paraId="1A5EE745" w14:textId="77777777" w:rsidTr="00BB6EDE">
        <w:trPr>
          <w:cantSplit/>
          <w:trHeight w:val="284"/>
          <w:tblHeader/>
          <w:jc w:val="center"/>
        </w:trPr>
        <w:tc>
          <w:tcPr>
            <w:tcW w:w="5098" w:type="dxa"/>
            <w:vAlign w:val="center"/>
          </w:tcPr>
          <w:p w14:paraId="77BBF2DA" w14:textId="77777777" w:rsidR="00662E2D" w:rsidRPr="004E4AA7" w:rsidRDefault="00662E2D" w:rsidP="000D3B07">
            <w:pPr>
              <w:spacing w:before="120" w:after="120"/>
              <w:rPr>
                <w:sz w:val="20"/>
                <w:szCs w:val="20"/>
              </w:rPr>
            </w:pPr>
            <w:r w:rsidRPr="004E4AA7">
              <w:rPr>
                <w:color w:val="000000"/>
                <w:sz w:val="20"/>
                <w:szCs w:val="20"/>
              </w:rPr>
              <w:t>KRS Adapter</w:t>
            </w:r>
          </w:p>
        </w:tc>
        <w:tc>
          <w:tcPr>
            <w:tcW w:w="1560" w:type="dxa"/>
            <w:vAlign w:val="center"/>
          </w:tcPr>
          <w:p w14:paraId="0060904F" w14:textId="77777777" w:rsidR="00662E2D" w:rsidRPr="004E4AA7" w:rsidRDefault="00662E2D" w:rsidP="000D3B07">
            <w:pPr>
              <w:spacing w:before="120" w:after="120"/>
              <w:rPr>
                <w:sz w:val="20"/>
                <w:szCs w:val="20"/>
              </w:rPr>
            </w:pPr>
            <w:r w:rsidRPr="004E4AA7">
              <w:rPr>
                <w:color w:val="000000"/>
                <w:sz w:val="20"/>
                <w:szCs w:val="20"/>
              </w:rPr>
              <w:t>Service</w:t>
            </w:r>
          </w:p>
        </w:tc>
        <w:tc>
          <w:tcPr>
            <w:tcW w:w="2404" w:type="dxa"/>
            <w:vAlign w:val="bottom"/>
          </w:tcPr>
          <w:p w14:paraId="138CC499" w14:textId="77777777" w:rsidR="00662E2D" w:rsidRPr="004E4AA7" w:rsidRDefault="00662E2D" w:rsidP="000D3B07">
            <w:pPr>
              <w:spacing w:before="120" w:after="120"/>
              <w:rPr>
                <w:sz w:val="20"/>
                <w:szCs w:val="20"/>
              </w:rPr>
            </w:pPr>
            <w:r w:rsidRPr="004E4AA7">
              <w:rPr>
                <w:color w:val="000000"/>
                <w:sz w:val="20"/>
                <w:szCs w:val="20"/>
              </w:rPr>
              <w:t>krs-adapter</w:t>
            </w:r>
          </w:p>
        </w:tc>
      </w:tr>
      <w:tr w:rsidR="00662E2D" w:rsidRPr="004E4AA7" w14:paraId="03EF8289" w14:textId="77777777" w:rsidTr="00BB6EDE">
        <w:trPr>
          <w:cantSplit/>
          <w:trHeight w:val="284"/>
          <w:tblHeader/>
          <w:jc w:val="center"/>
        </w:trPr>
        <w:tc>
          <w:tcPr>
            <w:tcW w:w="5098" w:type="dxa"/>
            <w:vAlign w:val="center"/>
          </w:tcPr>
          <w:p w14:paraId="45DB0110" w14:textId="77777777" w:rsidR="00662E2D" w:rsidRPr="004E4AA7" w:rsidRDefault="00662E2D" w:rsidP="000D3B07">
            <w:pPr>
              <w:spacing w:before="120" w:after="120"/>
              <w:rPr>
                <w:color w:val="000000"/>
                <w:sz w:val="20"/>
                <w:szCs w:val="20"/>
              </w:rPr>
            </w:pPr>
            <w:r w:rsidRPr="004E4AA7">
              <w:rPr>
                <w:color w:val="000000"/>
                <w:sz w:val="20"/>
                <w:szCs w:val="20"/>
              </w:rPr>
              <w:t>PESEL Adapter</w:t>
            </w:r>
          </w:p>
        </w:tc>
        <w:tc>
          <w:tcPr>
            <w:tcW w:w="1560" w:type="dxa"/>
            <w:vAlign w:val="center"/>
          </w:tcPr>
          <w:p w14:paraId="7DC49B48"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bottom"/>
          </w:tcPr>
          <w:p w14:paraId="7A860EB7" w14:textId="77777777" w:rsidR="00662E2D" w:rsidRPr="004E4AA7" w:rsidRDefault="00662E2D" w:rsidP="000D3B07">
            <w:pPr>
              <w:spacing w:before="120" w:after="120"/>
              <w:rPr>
                <w:color w:val="000000"/>
                <w:sz w:val="20"/>
                <w:szCs w:val="20"/>
              </w:rPr>
            </w:pPr>
            <w:r w:rsidRPr="004E4AA7">
              <w:rPr>
                <w:color w:val="000000"/>
                <w:sz w:val="20"/>
                <w:szCs w:val="20"/>
              </w:rPr>
              <w:t>pesel-adapter</w:t>
            </w:r>
          </w:p>
        </w:tc>
      </w:tr>
      <w:tr w:rsidR="00662E2D" w:rsidRPr="004E4AA7" w14:paraId="3FDD0A09" w14:textId="77777777" w:rsidTr="00BB6EDE">
        <w:trPr>
          <w:cantSplit/>
          <w:trHeight w:val="284"/>
          <w:tblHeader/>
          <w:jc w:val="center"/>
        </w:trPr>
        <w:tc>
          <w:tcPr>
            <w:tcW w:w="5098" w:type="dxa"/>
            <w:vAlign w:val="center"/>
          </w:tcPr>
          <w:p w14:paraId="166F8595" w14:textId="77777777" w:rsidR="00662E2D" w:rsidRPr="004E4AA7" w:rsidRDefault="00662E2D" w:rsidP="000D3B07">
            <w:pPr>
              <w:spacing w:before="120" w:after="120"/>
              <w:rPr>
                <w:color w:val="000000"/>
                <w:sz w:val="20"/>
                <w:szCs w:val="20"/>
              </w:rPr>
            </w:pPr>
            <w:r w:rsidRPr="004E4AA7">
              <w:rPr>
                <w:color w:val="000000"/>
                <w:sz w:val="20"/>
                <w:szCs w:val="20"/>
              </w:rPr>
              <w:t>REGON Adapter</w:t>
            </w:r>
          </w:p>
        </w:tc>
        <w:tc>
          <w:tcPr>
            <w:tcW w:w="1560" w:type="dxa"/>
            <w:vAlign w:val="center"/>
          </w:tcPr>
          <w:p w14:paraId="4F64675D"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bottom"/>
          </w:tcPr>
          <w:p w14:paraId="59DE4A81" w14:textId="77777777" w:rsidR="00662E2D" w:rsidRPr="004E4AA7" w:rsidRDefault="00662E2D" w:rsidP="000D3B07">
            <w:pPr>
              <w:spacing w:before="120" w:after="120"/>
              <w:rPr>
                <w:color w:val="000000"/>
                <w:sz w:val="20"/>
                <w:szCs w:val="20"/>
              </w:rPr>
            </w:pPr>
            <w:r w:rsidRPr="004E4AA7">
              <w:rPr>
                <w:color w:val="000000"/>
                <w:sz w:val="20"/>
                <w:szCs w:val="20"/>
              </w:rPr>
              <w:t>regon-adapter</w:t>
            </w:r>
          </w:p>
        </w:tc>
      </w:tr>
      <w:tr w:rsidR="00662E2D" w:rsidRPr="004E4AA7" w14:paraId="381C7DD0" w14:textId="77777777" w:rsidTr="00BB6EDE">
        <w:trPr>
          <w:cantSplit/>
          <w:trHeight w:val="284"/>
          <w:tblHeader/>
          <w:jc w:val="center"/>
        </w:trPr>
        <w:tc>
          <w:tcPr>
            <w:tcW w:w="5098" w:type="dxa"/>
            <w:vAlign w:val="center"/>
          </w:tcPr>
          <w:p w14:paraId="1DD6C693" w14:textId="77777777" w:rsidR="00662E2D" w:rsidRPr="004E4AA7" w:rsidRDefault="00662E2D" w:rsidP="000D3B07">
            <w:pPr>
              <w:spacing w:before="120" w:after="120"/>
              <w:rPr>
                <w:color w:val="000000"/>
                <w:sz w:val="20"/>
                <w:szCs w:val="20"/>
              </w:rPr>
            </w:pPr>
            <w:r w:rsidRPr="004E4AA7">
              <w:rPr>
                <w:color w:val="000000"/>
                <w:sz w:val="20"/>
                <w:szCs w:val="20"/>
              </w:rPr>
              <w:t>RPA Adapter</w:t>
            </w:r>
          </w:p>
        </w:tc>
        <w:tc>
          <w:tcPr>
            <w:tcW w:w="1560" w:type="dxa"/>
            <w:vAlign w:val="center"/>
          </w:tcPr>
          <w:p w14:paraId="538CBDEF"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bottom"/>
          </w:tcPr>
          <w:p w14:paraId="595F4D11" w14:textId="77777777" w:rsidR="00662E2D" w:rsidRPr="004E4AA7" w:rsidRDefault="00662E2D" w:rsidP="000D3B07">
            <w:pPr>
              <w:spacing w:before="120" w:after="120"/>
              <w:rPr>
                <w:color w:val="000000"/>
                <w:sz w:val="20"/>
                <w:szCs w:val="20"/>
              </w:rPr>
            </w:pPr>
            <w:r w:rsidRPr="004E4AA7">
              <w:rPr>
                <w:color w:val="000000"/>
                <w:sz w:val="20"/>
                <w:szCs w:val="20"/>
              </w:rPr>
              <w:t>rpa-adapter</w:t>
            </w:r>
          </w:p>
        </w:tc>
      </w:tr>
      <w:tr w:rsidR="00662E2D" w:rsidRPr="004E4AA7" w14:paraId="4072419F" w14:textId="77777777" w:rsidTr="00BB6EDE">
        <w:trPr>
          <w:cantSplit/>
          <w:trHeight w:val="284"/>
          <w:tblHeader/>
          <w:jc w:val="center"/>
        </w:trPr>
        <w:tc>
          <w:tcPr>
            <w:tcW w:w="5098" w:type="dxa"/>
            <w:vAlign w:val="center"/>
          </w:tcPr>
          <w:p w14:paraId="381358F9" w14:textId="77777777" w:rsidR="00662E2D" w:rsidRPr="004E4AA7" w:rsidRDefault="00662E2D" w:rsidP="000D3B07">
            <w:pPr>
              <w:spacing w:before="120" w:after="120"/>
              <w:rPr>
                <w:color w:val="000000"/>
                <w:sz w:val="20"/>
                <w:szCs w:val="20"/>
              </w:rPr>
            </w:pPr>
            <w:r w:rsidRPr="004E4AA7">
              <w:rPr>
                <w:color w:val="000000"/>
                <w:sz w:val="20"/>
                <w:szCs w:val="20"/>
              </w:rPr>
              <w:t>FEYE-AX Adapter</w:t>
            </w:r>
          </w:p>
        </w:tc>
        <w:tc>
          <w:tcPr>
            <w:tcW w:w="1560" w:type="dxa"/>
            <w:vAlign w:val="center"/>
          </w:tcPr>
          <w:p w14:paraId="59491C13"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bottom"/>
          </w:tcPr>
          <w:p w14:paraId="64C6FA03" w14:textId="77777777" w:rsidR="00662E2D" w:rsidRPr="004E4AA7" w:rsidRDefault="00662E2D" w:rsidP="000D3B07">
            <w:pPr>
              <w:spacing w:before="120" w:after="120"/>
              <w:rPr>
                <w:color w:val="000000"/>
                <w:sz w:val="20"/>
                <w:szCs w:val="20"/>
              </w:rPr>
            </w:pPr>
            <w:r w:rsidRPr="004E4AA7">
              <w:rPr>
                <w:color w:val="000000"/>
                <w:sz w:val="20"/>
                <w:szCs w:val="20"/>
              </w:rPr>
              <w:t>feye-ax-adapter</w:t>
            </w:r>
          </w:p>
        </w:tc>
      </w:tr>
      <w:tr w:rsidR="00662E2D" w:rsidRPr="004E4AA7" w14:paraId="4996D4D9" w14:textId="77777777" w:rsidTr="00BB6EDE">
        <w:trPr>
          <w:cantSplit/>
          <w:trHeight w:val="284"/>
          <w:tblHeader/>
          <w:jc w:val="center"/>
        </w:trPr>
        <w:tc>
          <w:tcPr>
            <w:tcW w:w="5098" w:type="dxa"/>
            <w:vAlign w:val="center"/>
          </w:tcPr>
          <w:p w14:paraId="7A4C4640" w14:textId="77777777" w:rsidR="00662E2D" w:rsidRPr="004E4AA7" w:rsidRDefault="00662E2D" w:rsidP="000D3B07">
            <w:pPr>
              <w:spacing w:before="120" w:after="120"/>
              <w:rPr>
                <w:color w:val="000000"/>
                <w:sz w:val="20"/>
                <w:szCs w:val="20"/>
              </w:rPr>
            </w:pPr>
            <w:r w:rsidRPr="004E4AA7">
              <w:rPr>
                <w:color w:val="000000"/>
                <w:sz w:val="20"/>
                <w:szCs w:val="20"/>
              </w:rPr>
              <w:t>CRD Adapter</w:t>
            </w:r>
          </w:p>
        </w:tc>
        <w:tc>
          <w:tcPr>
            <w:tcW w:w="1560" w:type="dxa"/>
            <w:vAlign w:val="center"/>
          </w:tcPr>
          <w:p w14:paraId="5B300F1E"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bottom"/>
          </w:tcPr>
          <w:p w14:paraId="5DC0D421" w14:textId="77777777" w:rsidR="00662E2D" w:rsidRPr="004E4AA7" w:rsidRDefault="00662E2D" w:rsidP="000D3B07">
            <w:pPr>
              <w:spacing w:before="120" w:after="120"/>
              <w:rPr>
                <w:color w:val="000000"/>
                <w:sz w:val="20"/>
                <w:szCs w:val="20"/>
              </w:rPr>
            </w:pPr>
            <w:r w:rsidRPr="004E4AA7">
              <w:rPr>
                <w:color w:val="000000"/>
                <w:sz w:val="20"/>
                <w:szCs w:val="20"/>
              </w:rPr>
              <w:t>crd-adapter</w:t>
            </w:r>
          </w:p>
        </w:tc>
      </w:tr>
    </w:tbl>
    <w:p w14:paraId="6091CF82"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92" w:name="_Toc68846764"/>
      <w:bookmarkStart w:id="193" w:name="_Toc69910649"/>
      <w:bookmarkStart w:id="194" w:name="_Toc70228177"/>
      <w:bookmarkStart w:id="195" w:name="_Toc115598607"/>
      <w:bookmarkStart w:id="196" w:name="_Toc134561943"/>
      <w:bookmarkEnd w:id="192"/>
      <w:bookmarkEnd w:id="193"/>
      <w:bookmarkEnd w:id="194"/>
    </w:p>
    <w:p w14:paraId="3A706106" w14:textId="7875F701"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Infrastruktura</w:t>
      </w:r>
      <w:bookmarkEnd w:id="195"/>
      <w:bookmarkEnd w:id="196"/>
    </w:p>
    <w:p w14:paraId="0446F501"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Infrastruktura </w:t>
      </w:r>
      <w:r w:rsidRPr="004E4AA7">
        <w:rPr>
          <w:sz w:val="20"/>
          <w:szCs w:val="20"/>
        </w:rPr>
        <w:t>zawarte są następujące komponenty aplikacyjne:</w:t>
      </w:r>
    </w:p>
    <w:p w14:paraId="3131E854" w14:textId="2BD1C4D1" w:rsidR="00662E2D" w:rsidRPr="004E4AA7" w:rsidRDefault="00662E2D" w:rsidP="000D3B07">
      <w:pPr>
        <w:pStyle w:val="Legenda"/>
        <w:spacing w:before="120" w:after="120"/>
        <w:rPr>
          <w:rFonts w:ascii="Times New Roman" w:hAnsi="Times New Roman"/>
          <w:sz w:val="20"/>
        </w:rPr>
      </w:pPr>
      <w:bookmarkStart w:id="197" w:name="_Toc115598884"/>
      <w:r w:rsidRPr="004E4AA7">
        <w:rPr>
          <w:rFonts w:ascii="Times New Roman" w:hAnsi="Times New Roman"/>
          <w:sz w:val="20"/>
        </w:rPr>
        <w:t xml:space="preserve">Tabela </w:t>
      </w:r>
      <w:r w:rsidR="00BA3750" w:rsidRPr="004E4AA7">
        <w:rPr>
          <w:rFonts w:ascii="Times New Roman" w:hAnsi="Times New Roman"/>
          <w:sz w:val="20"/>
        </w:rPr>
        <w:t>2</w:t>
      </w:r>
      <w:r w:rsidR="00664AD8" w:rsidRPr="004E4AA7">
        <w:rPr>
          <w:rFonts w:ascii="Times New Roman" w:hAnsi="Times New Roman"/>
          <w:sz w:val="20"/>
        </w:rPr>
        <w:t>5</w:t>
      </w:r>
      <w:r w:rsidRPr="004E4AA7">
        <w:rPr>
          <w:rFonts w:ascii="Times New Roman" w:hAnsi="Times New Roman"/>
          <w:sz w:val="20"/>
        </w:rPr>
        <w:t xml:space="preserve"> - Komponenty podsystemu Infrastruktura</w:t>
      </w:r>
      <w:bookmarkEnd w:id="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708BE7A4"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2AAA47F"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47758F00"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3FBDE4D"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0AA83508" w14:textId="77777777" w:rsidTr="00BB6EDE">
        <w:trPr>
          <w:cantSplit/>
          <w:trHeight w:val="284"/>
          <w:tblHeader/>
          <w:jc w:val="center"/>
        </w:trPr>
        <w:tc>
          <w:tcPr>
            <w:tcW w:w="5098" w:type="dxa"/>
            <w:vAlign w:val="center"/>
          </w:tcPr>
          <w:p w14:paraId="42427D35" w14:textId="77777777" w:rsidR="00662E2D" w:rsidRPr="004E4AA7" w:rsidRDefault="00662E2D" w:rsidP="000D3B07">
            <w:pPr>
              <w:spacing w:before="120" w:after="120"/>
              <w:rPr>
                <w:sz w:val="20"/>
                <w:szCs w:val="20"/>
              </w:rPr>
            </w:pPr>
            <w:r w:rsidRPr="004E4AA7">
              <w:rPr>
                <w:color w:val="000000"/>
                <w:sz w:val="20"/>
                <w:szCs w:val="20"/>
              </w:rPr>
              <w:t>KRZ Broker</w:t>
            </w:r>
          </w:p>
        </w:tc>
        <w:tc>
          <w:tcPr>
            <w:tcW w:w="1560" w:type="dxa"/>
            <w:vAlign w:val="center"/>
          </w:tcPr>
          <w:p w14:paraId="0BCA3333" w14:textId="77777777" w:rsidR="00662E2D" w:rsidRPr="004E4AA7" w:rsidRDefault="00662E2D" w:rsidP="000D3B07">
            <w:pPr>
              <w:spacing w:before="120" w:after="120"/>
              <w:rPr>
                <w:sz w:val="20"/>
                <w:szCs w:val="20"/>
              </w:rPr>
            </w:pPr>
            <w:r w:rsidRPr="004E4AA7">
              <w:rPr>
                <w:color w:val="000000"/>
                <w:sz w:val="20"/>
                <w:szCs w:val="20"/>
              </w:rPr>
              <w:t>Broker AMQ</w:t>
            </w:r>
          </w:p>
        </w:tc>
        <w:tc>
          <w:tcPr>
            <w:tcW w:w="2404" w:type="dxa"/>
            <w:vAlign w:val="bottom"/>
          </w:tcPr>
          <w:p w14:paraId="671ACFF1" w14:textId="77777777" w:rsidR="00662E2D" w:rsidRPr="004E4AA7" w:rsidRDefault="00662E2D" w:rsidP="000D3B07">
            <w:pPr>
              <w:spacing w:before="120" w:after="120"/>
              <w:rPr>
                <w:sz w:val="20"/>
                <w:szCs w:val="20"/>
              </w:rPr>
            </w:pPr>
            <w:r w:rsidRPr="004E4AA7">
              <w:rPr>
                <w:color w:val="000000"/>
                <w:sz w:val="20"/>
                <w:szCs w:val="20"/>
              </w:rPr>
              <w:t>krz-broker</w:t>
            </w:r>
          </w:p>
        </w:tc>
      </w:tr>
      <w:tr w:rsidR="00662E2D" w:rsidRPr="004E4AA7" w14:paraId="08677C9C" w14:textId="77777777" w:rsidTr="00BB6EDE">
        <w:trPr>
          <w:cantSplit/>
          <w:trHeight w:val="284"/>
          <w:tblHeader/>
          <w:jc w:val="center"/>
        </w:trPr>
        <w:tc>
          <w:tcPr>
            <w:tcW w:w="5098" w:type="dxa"/>
            <w:vAlign w:val="center"/>
          </w:tcPr>
          <w:p w14:paraId="72073DA2" w14:textId="77777777" w:rsidR="00662E2D" w:rsidRPr="004E4AA7" w:rsidRDefault="00662E2D" w:rsidP="000D3B07">
            <w:pPr>
              <w:spacing w:before="120" w:after="120"/>
              <w:rPr>
                <w:color w:val="000000"/>
                <w:sz w:val="20"/>
                <w:szCs w:val="20"/>
              </w:rPr>
            </w:pPr>
            <w:bookmarkStart w:id="198" w:name="_Hlk63166777"/>
            <w:r w:rsidRPr="004E4AA7">
              <w:rPr>
                <w:color w:val="000000"/>
                <w:sz w:val="20"/>
                <w:szCs w:val="20"/>
              </w:rPr>
              <w:t>Aplikacja do komunikacji pomiędzy modułem wniosków i spraw</w:t>
            </w:r>
            <w:bookmarkEnd w:id="198"/>
          </w:p>
        </w:tc>
        <w:tc>
          <w:tcPr>
            <w:tcW w:w="1560" w:type="dxa"/>
            <w:vAlign w:val="center"/>
          </w:tcPr>
          <w:p w14:paraId="1AD465DE"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6154AC6B" w14:textId="77777777" w:rsidR="00662E2D" w:rsidRPr="004E4AA7" w:rsidRDefault="00662E2D" w:rsidP="000D3B07">
            <w:pPr>
              <w:spacing w:before="120" w:after="120"/>
              <w:rPr>
                <w:color w:val="000000"/>
                <w:sz w:val="20"/>
                <w:szCs w:val="20"/>
              </w:rPr>
            </w:pPr>
            <w:r w:rsidRPr="004E4AA7">
              <w:rPr>
                <w:color w:val="000000"/>
                <w:sz w:val="20"/>
                <w:szCs w:val="20"/>
              </w:rPr>
              <w:t>krz-spr-amq</w:t>
            </w:r>
          </w:p>
        </w:tc>
      </w:tr>
    </w:tbl>
    <w:p w14:paraId="04FCAD8F"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199" w:name="_Toc115598608"/>
      <w:bookmarkStart w:id="200" w:name="_Toc134561944"/>
      <w:bookmarkEnd w:id="83"/>
      <w:bookmarkEnd w:id="161"/>
    </w:p>
    <w:p w14:paraId="05242A31" w14:textId="29783E59"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Platforma ACP</w:t>
      </w:r>
      <w:bookmarkEnd w:id="199"/>
      <w:bookmarkEnd w:id="200"/>
    </w:p>
    <w:p w14:paraId="57735225"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Platforma ACP </w:t>
      </w:r>
      <w:r w:rsidRPr="004E4AA7">
        <w:rPr>
          <w:sz w:val="20"/>
          <w:szCs w:val="20"/>
        </w:rPr>
        <w:t>zawarte są następujące komponenty aplikacyjne:</w:t>
      </w:r>
    </w:p>
    <w:p w14:paraId="7E23460E" w14:textId="0FF07FFF" w:rsidR="00662E2D" w:rsidRPr="004E4AA7" w:rsidRDefault="00662E2D" w:rsidP="000D3B07">
      <w:pPr>
        <w:pStyle w:val="Legenda"/>
        <w:spacing w:before="120" w:after="120"/>
        <w:rPr>
          <w:rFonts w:ascii="Times New Roman" w:hAnsi="Times New Roman"/>
          <w:sz w:val="20"/>
        </w:rPr>
      </w:pPr>
      <w:bookmarkStart w:id="201" w:name="_Toc115598887"/>
      <w:r w:rsidRPr="004E4AA7">
        <w:rPr>
          <w:rFonts w:ascii="Times New Roman" w:hAnsi="Times New Roman"/>
          <w:sz w:val="20"/>
        </w:rPr>
        <w:t xml:space="preserve">Tabela </w:t>
      </w:r>
      <w:r w:rsidR="00BA3750" w:rsidRPr="004E4AA7">
        <w:rPr>
          <w:rFonts w:ascii="Times New Roman" w:hAnsi="Times New Roman"/>
          <w:sz w:val="20"/>
        </w:rPr>
        <w:t>2</w:t>
      </w:r>
      <w:r w:rsidR="00664AD8" w:rsidRPr="004E4AA7">
        <w:rPr>
          <w:rFonts w:ascii="Times New Roman" w:hAnsi="Times New Roman"/>
          <w:sz w:val="20"/>
        </w:rPr>
        <w:t>6</w:t>
      </w:r>
      <w:r w:rsidRPr="004E4AA7">
        <w:rPr>
          <w:rFonts w:ascii="Times New Roman" w:hAnsi="Times New Roman"/>
          <w:sz w:val="20"/>
        </w:rPr>
        <w:t xml:space="preserve"> – Komponenty Platforma ACP</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4BA07496"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2A438784"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BB29350"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0CCA6564"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0BD4524C" w14:textId="77777777" w:rsidTr="00BB6EDE">
        <w:trPr>
          <w:cantSplit/>
          <w:trHeight w:val="284"/>
          <w:tblHeader/>
          <w:jc w:val="center"/>
        </w:trPr>
        <w:tc>
          <w:tcPr>
            <w:tcW w:w="5098" w:type="dxa"/>
            <w:vAlign w:val="center"/>
          </w:tcPr>
          <w:p w14:paraId="65A56E5D" w14:textId="77777777" w:rsidR="00662E2D" w:rsidRPr="004E4AA7" w:rsidRDefault="00662E2D" w:rsidP="000D3B07">
            <w:pPr>
              <w:spacing w:before="120" w:after="120"/>
              <w:rPr>
                <w:color w:val="000000"/>
                <w:sz w:val="20"/>
                <w:szCs w:val="20"/>
              </w:rPr>
            </w:pPr>
            <w:r w:rsidRPr="004E4AA7">
              <w:rPr>
                <w:color w:val="000000"/>
                <w:sz w:val="20"/>
                <w:szCs w:val="20"/>
              </w:rPr>
              <w:t xml:space="preserve">API platformy ACP dla środowiska Kubernetes </w:t>
            </w:r>
          </w:p>
        </w:tc>
        <w:tc>
          <w:tcPr>
            <w:tcW w:w="1560" w:type="dxa"/>
            <w:vAlign w:val="center"/>
          </w:tcPr>
          <w:p w14:paraId="1687D7C1"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746CC527" w14:textId="77777777" w:rsidR="00662E2D" w:rsidRPr="004E4AA7" w:rsidRDefault="00662E2D" w:rsidP="000D3B07">
            <w:pPr>
              <w:spacing w:before="120" w:after="120"/>
              <w:rPr>
                <w:color w:val="000000"/>
                <w:sz w:val="20"/>
                <w:szCs w:val="20"/>
              </w:rPr>
            </w:pPr>
            <w:r w:rsidRPr="004E4AA7">
              <w:rPr>
                <w:color w:val="000000"/>
                <w:sz w:val="20"/>
                <w:szCs w:val="20"/>
              </w:rPr>
              <w:t>acp-platform-k8s</w:t>
            </w:r>
          </w:p>
        </w:tc>
      </w:tr>
      <w:tr w:rsidR="00662E2D" w:rsidRPr="004E4AA7" w14:paraId="0C52808E" w14:textId="77777777" w:rsidTr="00BB6EDE">
        <w:trPr>
          <w:cantSplit/>
          <w:trHeight w:val="284"/>
          <w:tblHeader/>
          <w:jc w:val="center"/>
        </w:trPr>
        <w:tc>
          <w:tcPr>
            <w:tcW w:w="5098" w:type="dxa"/>
            <w:vAlign w:val="center"/>
          </w:tcPr>
          <w:p w14:paraId="6B65DB17" w14:textId="77777777" w:rsidR="00662E2D" w:rsidRPr="004E4AA7" w:rsidRDefault="00662E2D" w:rsidP="000D3B07">
            <w:pPr>
              <w:spacing w:before="120" w:after="120"/>
              <w:rPr>
                <w:color w:val="000000"/>
                <w:sz w:val="20"/>
                <w:szCs w:val="20"/>
              </w:rPr>
            </w:pPr>
            <w:r w:rsidRPr="004E4AA7">
              <w:rPr>
                <w:color w:val="000000"/>
                <w:sz w:val="20"/>
                <w:szCs w:val="20"/>
              </w:rPr>
              <w:t>API audytu platformy ACP</w:t>
            </w:r>
          </w:p>
        </w:tc>
        <w:tc>
          <w:tcPr>
            <w:tcW w:w="1560" w:type="dxa"/>
            <w:vAlign w:val="center"/>
          </w:tcPr>
          <w:p w14:paraId="3D92E503"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47686E0B" w14:textId="77777777" w:rsidR="00662E2D" w:rsidRPr="004E4AA7" w:rsidRDefault="00662E2D" w:rsidP="000D3B07">
            <w:pPr>
              <w:spacing w:before="120" w:after="120"/>
              <w:rPr>
                <w:color w:val="000000"/>
                <w:sz w:val="20"/>
                <w:szCs w:val="20"/>
              </w:rPr>
            </w:pPr>
            <w:r w:rsidRPr="004E4AA7">
              <w:rPr>
                <w:color w:val="000000"/>
                <w:sz w:val="20"/>
                <w:szCs w:val="20"/>
              </w:rPr>
              <w:t>acp-audit</w:t>
            </w:r>
          </w:p>
        </w:tc>
      </w:tr>
    </w:tbl>
    <w:p w14:paraId="6135BCED" w14:textId="77777777" w:rsidR="00664AD8" w:rsidRPr="004E4AA7" w:rsidRDefault="00664AD8" w:rsidP="00664AD8">
      <w:pPr>
        <w:pStyle w:val="P1"/>
        <w:numPr>
          <w:ilvl w:val="0"/>
          <w:numId w:val="0"/>
        </w:numPr>
        <w:ind w:left="284"/>
        <w:rPr>
          <w:rFonts w:ascii="Times New Roman" w:hAnsi="Times New Roman" w:cs="Times New Roman"/>
          <w:b w:val="0"/>
          <w:bCs/>
          <w:i/>
          <w:iCs/>
          <w:sz w:val="20"/>
          <w:szCs w:val="20"/>
        </w:rPr>
      </w:pPr>
      <w:bookmarkStart w:id="202" w:name="_Toc115598609"/>
      <w:bookmarkStart w:id="203" w:name="_Toc134561945"/>
    </w:p>
    <w:p w14:paraId="541A71EB" w14:textId="186B234B" w:rsidR="00662E2D" w:rsidRPr="004E4AA7" w:rsidRDefault="00662E2D">
      <w:pPr>
        <w:pStyle w:val="P1"/>
        <w:numPr>
          <w:ilvl w:val="0"/>
          <w:numId w:val="55"/>
        </w:numPr>
        <w:ind w:left="284" w:hanging="284"/>
        <w:rPr>
          <w:rFonts w:ascii="Times New Roman" w:hAnsi="Times New Roman" w:cs="Times New Roman"/>
          <w:b w:val="0"/>
          <w:bCs/>
          <w:i/>
          <w:iCs/>
          <w:sz w:val="20"/>
          <w:szCs w:val="20"/>
        </w:rPr>
      </w:pPr>
      <w:r w:rsidRPr="004E4AA7">
        <w:rPr>
          <w:rFonts w:ascii="Times New Roman" w:hAnsi="Times New Roman" w:cs="Times New Roman"/>
          <w:b w:val="0"/>
          <w:bCs/>
          <w:i/>
          <w:iCs/>
          <w:sz w:val="20"/>
          <w:szCs w:val="20"/>
        </w:rPr>
        <w:t>Portal ACP</w:t>
      </w:r>
      <w:bookmarkEnd w:id="202"/>
      <w:bookmarkEnd w:id="203"/>
    </w:p>
    <w:p w14:paraId="15913644" w14:textId="77777777" w:rsidR="00662E2D" w:rsidRPr="004E4AA7" w:rsidRDefault="00662E2D" w:rsidP="000D3B07">
      <w:pPr>
        <w:spacing w:before="120" w:after="120"/>
        <w:rPr>
          <w:sz w:val="20"/>
          <w:szCs w:val="20"/>
        </w:rPr>
      </w:pPr>
      <w:r w:rsidRPr="004E4AA7">
        <w:rPr>
          <w:sz w:val="20"/>
          <w:szCs w:val="20"/>
        </w:rPr>
        <w:t xml:space="preserve">W podsystemie </w:t>
      </w:r>
      <w:r w:rsidRPr="004E4AA7">
        <w:rPr>
          <w:b/>
          <w:bCs/>
          <w:i/>
          <w:iCs/>
          <w:sz w:val="20"/>
          <w:szCs w:val="20"/>
        </w:rPr>
        <w:t xml:space="preserve">Portal ACP </w:t>
      </w:r>
      <w:r w:rsidRPr="004E4AA7">
        <w:rPr>
          <w:sz w:val="20"/>
          <w:szCs w:val="20"/>
        </w:rPr>
        <w:t>zawarte są następujące komponenty aplikacyjne:</w:t>
      </w:r>
    </w:p>
    <w:p w14:paraId="7EDB85C6" w14:textId="6DA6E12F" w:rsidR="00662E2D" w:rsidRPr="004E4AA7" w:rsidRDefault="00662E2D" w:rsidP="000D3B07">
      <w:pPr>
        <w:pStyle w:val="Legenda"/>
        <w:spacing w:before="120" w:after="120"/>
        <w:rPr>
          <w:rFonts w:ascii="Times New Roman" w:hAnsi="Times New Roman"/>
          <w:sz w:val="20"/>
        </w:rPr>
      </w:pPr>
      <w:bookmarkStart w:id="204" w:name="_Toc115598890"/>
      <w:r w:rsidRPr="004E4AA7">
        <w:rPr>
          <w:rFonts w:ascii="Times New Roman" w:hAnsi="Times New Roman"/>
          <w:sz w:val="20"/>
        </w:rPr>
        <w:lastRenderedPageBreak/>
        <w:t xml:space="preserve">Tabela </w:t>
      </w:r>
      <w:r w:rsidR="00BA3750" w:rsidRPr="004E4AA7">
        <w:rPr>
          <w:rFonts w:ascii="Times New Roman" w:hAnsi="Times New Roman"/>
          <w:sz w:val="20"/>
        </w:rPr>
        <w:t>2</w:t>
      </w:r>
      <w:r w:rsidR="00664AD8" w:rsidRPr="004E4AA7">
        <w:rPr>
          <w:rFonts w:ascii="Times New Roman" w:hAnsi="Times New Roman"/>
          <w:sz w:val="20"/>
        </w:rPr>
        <w:t>7</w:t>
      </w:r>
      <w:r w:rsidRPr="004E4AA7">
        <w:rPr>
          <w:rFonts w:ascii="Times New Roman" w:hAnsi="Times New Roman"/>
          <w:sz w:val="20"/>
        </w:rPr>
        <w:t xml:space="preserve"> - Komponenty Platform ACP</w:t>
      </w:r>
      <w:bookmarkEnd w:id="2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60"/>
        <w:gridCol w:w="2404"/>
      </w:tblGrid>
      <w:tr w:rsidR="00662E2D" w:rsidRPr="004E4AA7" w14:paraId="4A5F4DBF" w14:textId="77777777" w:rsidTr="00BB6EDE">
        <w:trPr>
          <w:cantSplit/>
          <w:trHeight w:val="284"/>
          <w:tblHeader/>
          <w:jc w:val="center"/>
        </w:trPr>
        <w:tc>
          <w:tcPr>
            <w:tcW w:w="5098"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46A7EA2D" w14:textId="77777777" w:rsidR="00662E2D" w:rsidRPr="004E4AA7" w:rsidRDefault="00662E2D" w:rsidP="000D3B07">
            <w:pPr>
              <w:spacing w:before="120" w:after="120"/>
              <w:rPr>
                <w:b/>
                <w:color w:val="FFFFFF"/>
                <w:sz w:val="20"/>
                <w:szCs w:val="20"/>
              </w:rPr>
            </w:pPr>
            <w:r w:rsidRPr="004E4AA7">
              <w:rPr>
                <w:b/>
                <w:color w:val="FFFFFF"/>
                <w:sz w:val="20"/>
                <w:szCs w:val="20"/>
              </w:rPr>
              <w:t>Aplikacja</w:t>
            </w:r>
          </w:p>
        </w:tc>
        <w:tc>
          <w:tcPr>
            <w:tcW w:w="156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32CF93E5" w14:textId="77777777" w:rsidR="00662E2D" w:rsidRPr="004E4AA7" w:rsidRDefault="00662E2D" w:rsidP="000D3B07">
            <w:pPr>
              <w:spacing w:before="120" w:after="120"/>
              <w:rPr>
                <w:b/>
                <w:color w:val="FFFFFF"/>
                <w:sz w:val="20"/>
                <w:szCs w:val="20"/>
              </w:rPr>
            </w:pPr>
            <w:r w:rsidRPr="004E4AA7">
              <w:rPr>
                <w:b/>
                <w:color w:val="FFFFFF"/>
                <w:sz w:val="20"/>
                <w:szCs w:val="20"/>
              </w:rPr>
              <w:t>Stereotyp</w:t>
            </w:r>
          </w:p>
        </w:tc>
        <w:tc>
          <w:tcPr>
            <w:tcW w:w="2404"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14:paraId="60697FF9" w14:textId="77777777" w:rsidR="00662E2D" w:rsidRPr="004E4AA7" w:rsidRDefault="00662E2D" w:rsidP="000D3B07">
            <w:pPr>
              <w:spacing w:before="120" w:after="120"/>
              <w:rPr>
                <w:b/>
                <w:color w:val="FFFFFF"/>
                <w:sz w:val="20"/>
                <w:szCs w:val="20"/>
              </w:rPr>
            </w:pPr>
            <w:r w:rsidRPr="004E4AA7">
              <w:rPr>
                <w:b/>
                <w:color w:val="FFFFFF"/>
                <w:sz w:val="20"/>
                <w:szCs w:val="20"/>
              </w:rPr>
              <w:t>Komponent</w:t>
            </w:r>
          </w:p>
        </w:tc>
      </w:tr>
      <w:tr w:rsidR="00662E2D" w:rsidRPr="004E4AA7" w14:paraId="478109F5" w14:textId="77777777" w:rsidTr="00BB6EDE">
        <w:trPr>
          <w:cantSplit/>
          <w:trHeight w:val="284"/>
          <w:tblHeader/>
          <w:jc w:val="center"/>
        </w:trPr>
        <w:tc>
          <w:tcPr>
            <w:tcW w:w="5098" w:type="dxa"/>
            <w:vAlign w:val="center"/>
          </w:tcPr>
          <w:p w14:paraId="45366D81" w14:textId="77777777" w:rsidR="00662E2D" w:rsidRPr="004E4AA7" w:rsidRDefault="00662E2D" w:rsidP="000D3B07">
            <w:pPr>
              <w:spacing w:before="120" w:after="120"/>
              <w:rPr>
                <w:color w:val="000000"/>
                <w:sz w:val="20"/>
                <w:szCs w:val="20"/>
              </w:rPr>
            </w:pPr>
            <w:r w:rsidRPr="004E4AA7">
              <w:rPr>
                <w:color w:val="000000"/>
                <w:sz w:val="20"/>
                <w:szCs w:val="20"/>
              </w:rPr>
              <w:t>Schowek kontekstów użytkownika portalu aplikacyjnego</w:t>
            </w:r>
          </w:p>
        </w:tc>
        <w:tc>
          <w:tcPr>
            <w:tcW w:w="1560" w:type="dxa"/>
            <w:vAlign w:val="center"/>
          </w:tcPr>
          <w:p w14:paraId="5413D4E4"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17DAFF4E" w14:textId="77777777" w:rsidR="00662E2D" w:rsidRPr="004E4AA7" w:rsidRDefault="00662E2D" w:rsidP="000D3B07">
            <w:pPr>
              <w:spacing w:before="120" w:after="120"/>
              <w:rPr>
                <w:color w:val="000000"/>
                <w:sz w:val="20"/>
                <w:szCs w:val="20"/>
              </w:rPr>
            </w:pPr>
            <w:r w:rsidRPr="004E4AA7">
              <w:rPr>
                <w:color w:val="000000"/>
                <w:sz w:val="20"/>
                <w:szCs w:val="20"/>
              </w:rPr>
              <w:t>acp-context-stash</w:t>
            </w:r>
          </w:p>
        </w:tc>
      </w:tr>
      <w:tr w:rsidR="00662E2D" w:rsidRPr="004E4AA7" w14:paraId="42CBE428" w14:textId="77777777" w:rsidTr="00BB6EDE">
        <w:trPr>
          <w:cantSplit/>
          <w:trHeight w:val="284"/>
          <w:tblHeader/>
          <w:jc w:val="center"/>
        </w:trPr>
        <w:tc>
          <w:tcPr>
            <w:tcW w:w="5098" w:type="dxa"/>
            <w:vAlign w:val="center"/>
          </w:tcPr>
          <w:p w14:paraId="3C67E5CE" w14:textId="77777777" w:rsidR="00662E2D" w:rsidRPr="004E4AA7" w:rsidRDefault="00662E2D" w:rsidP="000D3B07">
            <w:pPr>
              <w:spacing w:before="120" w:after="120"/>
              <w:rPr>
                <w:color w:val="000000"/>
                <w:sz w:val="20"/>
                <w:szCs w:val="20"/>
              </w:rPr>
            </w:pPr>
            <w:r w:rsidRPr="004E4AA7">
              <w:rPr>
                <w:color w:val="000000"/>
                <w:sz w:val="20"/>
                <w:szCs w:val="20"/>
              </w:rPr>
              <w:t>API platformy ACP dla środowiska Kubernetes</w:t>
            </w:r>
          </w:p>
        </w:tc>
        <w:tc>
          <w:tcPr>
            <w:tcW w:w="1560" w:type="dxa"/>
            <w:vAlign w:val="center"/>
          </w:tcPr>
          <w:p w14:paraId="78E7D597"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70FA062D" w14:textId="77777777" w:rsidR="00662E2D" w:rsidRPr="004E4AA7" w:rsidRDefault="00662E2D" w:rsidP="000D3B07">
            <w:pPr>
              <w:spacing w:before="120" w:after="120"/>
              <w:rPr>
                <w:color w:val="000000"/>
                <w:sz w:val="20"/>
                <w:szCs w:val="20"/>
              </w:rPr>
            </w:pPr>
            <w:r w:rsidRPr="004E4AA7">
              <w:rPr>
                <w:color w:val="000000"/>
                <w:sz w:val="20"/>
                <w:szCs w:val="20"/>
              </w:rPr>
              <w:t>acp-platform-k8s</w:t>
            </w:r>
          </w:p>
        </w:tc>
      </w:tr>
      <w:tr w:rsidR="00662E2D" w:rsidRPr="004E4AA7" w14:paraId="620B3FAF" w14:textId="77777777" w:rsidTr="00BB6EDE">
        <w:trPr>
          <w:cantSplit/>
          <w:trHeight w:val="284"/>
          <w:tblHeader/>
          <w:jc w:val="center"/>
        </w:trPr>
        <w:tc>
          <w:tcPr>
            <w:tcW w:w="5098" w:type="dxa"/>
            <w:vAlign w:val="center"/>
          </w:tcPr>
          <w:p w14:paraId="22FCBD75" w14:textId="77777777" w:rsidR="00662E2D" w:rsidRPr="004E4AA7" w:rsidRDefault="00662E2D" w:rsidP="000D3B07">
            <w:pPr>
              <w:spacing w:before="120" w:after="120"/>
              <w:rPr>
                <w:color w:val="000000"/>
                <w:sz w:val="20"/>
                <w:szCs w:val="20"/>
              </w:rPr>
            </w:pPr>
            <w:r w:rsidRPr="004E4AA7">
              <w:rPr>
                <w:color w:val="000000"/>
                <w:sz w:val="20"/>
                <w:szCs w:val="20"/>
              </w:rPr>
              <w:t>Portal aplikacyjny</w:t>
            </w:r>
          </w:p>
        </w:tc>
        <w:tc>
          <w:tcPr>
            <w:tcW w:w="1560" w:type="dxa"/>
            <w:vAlign w:val="center"/>
          </w:tcPr>
          <w:p w14:paraId="54FCECB2"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2404" w:type="dxa"/>
            <w:vAlign w:val="center"/>
          </w:tcPr>
          <w:p w14:paraId="0611558A" w14:textId="77777777" w:rsidR="00662E2D" w:rsidRPr="004E4AA7" w:rsidRDefault="00662E2D" w:rsidP="000D3B07">
            <w:pPr>
              <w:spacing w:before="120" w:after="120"/>
              <w:rPr>
                <w:color w:val="000000"/>
                <w:sz w:val="20"/>
                <w:szCs w:val="20"/>
              </w:rPr>
            </w:pPr>
            <w:r w:rsidRPr="004E4AA7">
              <w:rPr>
                <w:color w:val="000000"/>
                <w:sz w:val="20"/>
                <w:szCs w:val="20"/>
              </w:rPr>
              <w:t>acp-portal</w:t>
            </w:r>
          </w:p>
        </w:tc>
      </w:tr>
      <w:tr w:rsidR="00662E2D" w:rsidRPr="004E4AA7" w14:paraId="7251A4AA" w14:textId="77777777" w:rsidTr="00BB6EDE">
        <w:trPr>
          <w:cantSplit/>
          <w:trHeight w:val="284"/>
          <w:tblHeader/>
          <w:jc w:val="center"/>
        </w:trPr>
        <w:tc>
          <w:tcPr>
            <w:tcW w:w="5098" w:type="dxa"/>
            <w:vAlign w:val="center"/>
          </w:tcPr>
          <w:p w14:paraId="64971163" w14:textId="77777777" w:rsidR="00662E2D" w:rsidRPr="004E4AA7" w:rsidRDefault="00662E2D" w:rsidP="000D3B07">
            <w:pPr>
              <w:spacing w:before="120" w:after="120"/>
              <w:rPr>
                <w:color w:val="000000"/>
                <w:sz w:val="20"/>
                <w:szCs w:val="20"/>
              </w:rPr>
            </w:pPr>
            <w:r w:rsidRPr="004E4AA7">
              <w:rPr>
                <w:color w:val="000000"/>
                <w:sz w:val="20"/>
                <w:szCs w:val="20"/>
              </w:rPr>
              <w:t>Administrator portalu aplikacyjnego</w:t>
            </w:r>
          </w:p>
        </w:tc>
        <w:tc>
          <w:tcPr>
            <w:tcW w:w="1560" w:type="dxa"/>
            <w:vAlign w:val="center"/>
          </w:tcPr>
          <w:p w14:paraId="1282E3A0" w14:textId="77777777" w:rsidR="00662E2D" w:rsidRPr="004E4AA7" w:rsidRDefault="00662E2D" w:rsidP="000D3B07">
            <w:pPr>
              <w:spacing w:before="120" w:after="120"/>
              <w:rPr>
                <w:color w:val="000000"/>
                <w:sz w:val="20"/>
                <w:szCs w:val="20"/>
              </w:rPr>
            </w:pPr>
            <w:r w:rsidRPr="004E4AA7">
              <w:rPr>
                <w:color w:val="000000"/>
                <w:sz w:val="20"/>
                <w:szCs w:val="20"/>
              </w:rPr>
              <w:t>GUI</w:t>
            </w:r>
          </w:p>
        </w:tc>
        <w:tc>
          <w:tcPr>
            <w:tcW w:w="2404" w:type="dxa"/>
            <w:vAlign w:val="center"/>
          </w:tcPr>
          <w:p w14:paraId="426330BD" w14:textId="77777777" w:rsidR="00662E2D" w:rsidRPr="004E4AA7" w:rsidRDefault="00662E2D" w:rsidP="000D3B07">
            <w:pPr>
              <w:spacing w:before="120" w:after="120"/>
              <w:rPr>
                <w:color w:val="000000"/>
                <w:sz w:val="20"/>
                <w:szCs w:val="20"/>
              </w:rPr>
            </w:pPr>
            <w:r w:rsidRPr="004E4AA7">
              <w:rPr>
                <w:color w:val="000000"/>
                <w:sz w:val="20"/>
                <w:szCs w:val="20"/>
              </w:rPr>
              <w:t>acp-portal-admin</w:t>
            </w:r>
          </w:p>
        </w:tc>
      </w:tr>
      <w:tr w:rsidR="00662E2D" w:rsidRPr="004E4AA7" w14:paraId="5BAEB04F" w14:textId="77777777" w:rsidTr="00BB6EDE">
        <w:trPr>
          <w:cantSplit/>
          <w:trHeight w:val="284"/>
          <w:tblHeader/>
          <w:jc w:val="center"/>
        </w:trPr>
        <w:tc>
          <w:tcPr>
            <w:tcW w:w="5098" w:type="dxa"/>
            <w:vAlign w:val="center"/>
          </w:tcPr>
          <w:p w14:paraId="4126FE13" w14:textId="77777777" w:rsidR="00662E2D" w:rsidRPr="004E4AA7" w:rsidRDefault="00662E2D" w:rsidP="000D3B07">
            <w:pPr>
              <w:spacing w:before="120" w:after="120"/>
              <w:rPr>
                <w:color w:val="000000"/>
                <w:sz w:val="20"/>
                <w:szCs w:val="20"/>
              </w:rPr>
            </w:pPr>
            <w:r w:rsidRPr="004E4AA7">
              <w:rPr>
                <w:color w:val="000000"/>
                <w:sz w:val="20"/>
                <w:szCs w:val="20"/>
              </w:rPr>
              <w:t>Asynchroniczne przekazywanie zdarzeń do portalu aplikacyjnego</w:t>
            </w:r>
          </w:p>
        </w:tc>
        <w:tc>
          <w:tcPr>
            <w:tcW w:w="1560" w:type="dxa"/>
            <w:vAlign w:val="center"/>
          </w:tcPr>
          <w:p w14:paraId="0FEE0389"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390A5013" w14:textId="77777777" w:rsidR="00662E2D" w:rsidRPr="004E4AA7" w:rsidRDefault="00662E2D" w:rsidP="000D3B07">
            <w:pPr>
              <w:spacing w:before="120" w:after="120"/>
              <w:rPr>
                <w:color w:val="000000"/>
                <w:sz w:val="20"/>
                <w:szCs w:val="20"/>
              </w:rPr>
            </w:pPr>
            <w:r w:rsidRPr="004E4AA7">
              <w:rPr>
                <w:color w:val="000000"/>
                <w:sz w:val="20"/>
                <w:szCs w:val="20"/>
              </w:rPr>
              <w:t>acp-portal-events</w:t>
            </w:r>
          </w:p>
        </w:tc>
      </w:tr>
      <w:tr w:rsidR="00662E2D" w:rsidRPr="004E4AA7" w14:paraId="728CC90A" w14:textId="77777777" w:rsidTr="00BB6EDE">
        <w:trPr>
          <w:cantSplit/>
          <w:trHeight w:val="284"/>
          <w:tblHeader/>
          <w:jc w:val="center"/>
        </w:trPr>
        <w:tc>
          <w:tcPr>
            <w:tcW w:w="5098" w:type="dxa"/>
            <w:vAlign w:val="center"/>
          </w:tcPr>
          <w:p w14:paraId="57AEA482" w14:textId="77777777" w:rsidR="00662E2D" w:rsidRPr="004E4AA7" w:rsidRDefault="00662E2D" w:rsidP="000D3B07">
            <w:pPr>
              <w:spacing w:before="120" w:after="120"/>
              <w:rPr>
                <w:color w:val="000000"/>
                <w:sz w:val="20"/>
                <w:szCs w:val="20"/>
              </w:rPr>
            </w:pPr>
            <w:r w:rsidRPr="004E4AA7">
              <w:rPr>
                <w:color w:val="000000"/>
                <w:sz w:val="20"/>
                <w:szCs w:val="20"/>
              </w:rPr>
              <w:t>Bramka Websocket i STOMP portalu aplikacyjnego</w:t>
            </w:r>
          </w:p>
        </w:tc>
        <w:tc>
          <w:tcPr>
            <w:tcW w:w="1560" w:type="dxa"/>
            <w:vAlign w:val="center"/>
          </w:tcPr>
          <w:p w14:paraId="61E9F8F3"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6800676E" w14:textId="77777777" w:rsidR="00662E2D" w:rsidRPr="004E4AA7" w:rsidRDefault="00662E2D" w:rsidP="000D3B07">
            <w:pPr>
              <w:spacing w:before="120" w:after="120"/>
              <w:rPr>
                <w:color w:val="000000"/>
                <w:sz w:val="20"/>
                <w:szCs w:val="20"/>
              </w:rPr>
            </w:pPr>
            <w:r w:rsidRPr="004E4AA7">
              <w:rPr>
                <w:color w:val="000000"/>
                <w:sz w:val="20"/>
                <w:szCs w:val="20"/>
              </w:rPr>
              <w:t>acp-portal-push</w:t>
            </w:r>
          </w:p>
        </w:tc>
      </w:tr>
      <w:tr w:rsidR="00662E2D" w:rsidRPr="004E4AA7" w14:paraId="580CBBCD" w14:textId="77777777" w:rsidTr="00BB6EDE">
        <w:trPr>
          <w:cantSplit/>
          <w:trHeight w:val="284"/>
          <w:tblHeader/>
          <w:jc w:val="center"/>
        </w:trPr>
        <w:tc>
          <w:tcPr>
            <w:tcW w:w="5098" w:type="dxa"/>
            <w:vAlign w:val="center"/>
          </w:tcPr>
          <w:p w14:paraId="1E097BEC" w14:textId="77777777" w:rsidR="00662E2D" w:rsidRPr="004E4AA7" w:rsidRDefault="00662E2D" w:rsidP="000D3B07">
            <w:pPr>
              <w:spacing w:before="120" w:after="120"/>
              <w:rPr>
                <w:color w:val="000000"/>
                <w:sz w:val="20"/>
                <w:szCs w:val="20"/>
              </w:rPr>
            </w:pPr>
            <w:r w:rsidRPr="004E4AA7">
              <w:rPr>
                <w:color w:val="000000"/>
                <w:sz w:val="20"/>
                <w:szCs w:val="20"/>
              </w:rPr>
              <w:t>Rejestr konfiguracji portalu aplikacyjnego</w:t>
            </w:r>
          </w:p>
        </w:tc>
        <w:tc>
          <w:tcPr>
            <w:tcW w:w="1560" w:type="dxa"/>
            <w:vAlign w:val="center"/>
          </w:tcPr>
          <w:p w14:paraId="6CE3C6CD" w14:textId="77777777" w:rsidR="00662E2D" w:rsidRPr="004E4AA7" w:rsidRDefault="00662E2D" w:rsidP="000D3B07">
            <w:pPr>
              <w:spacing w:before="120" w:after="120"/>
              <w:rPr>
                <w:color w:val="000000"/>
                <w:sz w:val="20"/>
                <w:szCs w:val="20"/>
              </w:rPr>
            </w:pPr>
            <w:r w:rsidRPr="004E4AA7">
              <w:rPr>
                <w:color w:val="000000"/>
                <w:sz w:val="20"/>
                <w:szCs w:val="20"/>
              </w:rPr>
              <w:t>Service</w:t>
            </w:r>
          </w:p>
        </w:tc>
        <w:tc>
          <w:tcPr>
            <w:tcW w:w="2404" w:type="dxa"/>
            <w:vAlign w:val="center"/>
          </w:tcPr>
          <w:p w14:paraId="794E9DE8" w14:textId="77777777" w:rsidR="00662E2D" w:rsidRPr="004E4AA7" w:rsidRDefault="00662E2D" w:rsidP="000D3B07">
            <w:pPr>
              <w:spacing w:before="120" w:after="120"/>
              <w:rPr>
                <w:color w:val="000000"/>
                <w:sz w:val="20"/>
                <w:szCs w:val="20"/>
              </w:rPr>
            </w:pPr>
            <w:r w:rsidRPr="004E4AA7">
              <w:rPr>
                <w:color w:val="000000"/>
                <w:sz w:val="20"/>
                <w:szCs w:val="20"/>
              </w:rPr>
              <w:t>acp-portal-registry</w:t>
            </w:r>
          </w:p>
        </w:tc>
      </w:tr>
    </w:tbl>
    <w:p w14:paraId="7C469FF5" w14:textId="77777777" w:rsidR="00662E2D" w:rsidRPr="004E4AA7" w:rsidRDefault="00662E2D" w:rsidP="000D3B07">
      <w:pPr>
        <w:spacing w:before="120" w:after="120"/>
        <w:jc w:val="both"/>
        <w:rPr>
          <w:rFonts w:eastAsia="Calibri"/>
          <w:sz w:val="20"/>
          <w:szCs w:val="20"/>
        </w:rPr>
      </w:pPr>
    </w:p>
    <w:sectPr w:rsidR="00662E2D" w:rsidRPr="004E4AA7" w:rsidSect="000D3B07">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B9492" w14:textId="77777777" w:rsidR="006C6AF0" w:rsidRDefault="006C6AF0" w:rsidP="00A30967">
      <w:r>
        <w:separator/>
      </w:r>
    </w:p>
  </w:endnote>
  <w:endnote w:type="continuationSeparator" w:id="0">
    <w:p w14:paraId="19782B34" w14:textId="77777777" w:rsidR="006C6AF0" w:rsidRDefault="006C6AF0" w:rsidP="00A3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IBMLogo">
    <w:panose1 w:val="00000000000000000000"/>
    <w:charset w:val="00"/>
    <w:family w:val="decorative"/>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521A" w14:textId="77777777" w:rsidR="009D5D3E" w:rsidRDefault="009D5D3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C986" w14:textId="77777777" w:rsidR="000438E3" w:rsidRPr="00643536" w:rsidRDefault="000438E3">
    <w:pPr>
      <w:pStyle w:val="Stopka"/>
      <w:ind w:right="360"/>
      <w:jc w:val="right"/>
      <w:rPr>
        <w:b/>
        <w:bCs/>
        <w:sz w:val="16"/>
        <w:szCs w:val="16"/>
      </w:rPr>
    </w:pPr>
    <w:r w:rsidRPr="00643536">
      <w:rPr>
        <w:rStyle w:val="Numerstrony"/>
        <w:bCs/>
      </w:rPr>
      <w:fldChar w:fldCharType="begin"/>
    </w:r>
    <w:r w:rsidRPr="00643536">
      <w:rPr>
        <w:rStyle w:val="Numerstrony"/>
        <w:bCs/>
      </w:rPr>
      <w:instrText xml:space="preserve"> PAGE </w:instrText>
    </w:r>
    <w:r w:rsidRPr="00643536">
      <w:rPr>
        <w:rStyle w:val="Numerstrony"/>
        <w:bCs/>
      </w:rPr>
      <w:fldChar w:fldCharType="separate"/>
    </w:r>
    <w:r w:rsidRPr="00643536">
      <w:rPr>
        <w:rStyle w:val="Numerstrony"/>
        <w:bCs/>
        <w:noProof/>
      </w:rPr>
      <w:t>40</w:t>
    </w:r>
    <w:r w:rsidRPr="00643536">
      <w:rPr>
        <w:rStyle w:val="Numerstrony"/>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3E29" w14:textId="77777777" w:rsidR="009D5D3E" w:rsidRDefault="009D5D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871EC" w14:textId="77777777" w:rsidR="006C6AF0" w:rsidRDefault="006C6AF0" w:rsidP="00A30967">
      <w:r>
        <w:separator/>
      </w:r>
    </w:p>
  </w:footnote>
  <w:footnote w:type="continuationSeparator" w:id="0">
    <w:p w14:paraId="07E81B0C" w14:textId="77777777" w:rsidR="006C6AF0" w:rsidRDefault="006C6AF0" w:rsidP="00A3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C08C" w14:textId="77777777" w:rsidR="009D5D3E" w:rsidRDefault="009D5D3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2FBE" w14:textId="77777777" w:rsidR="009D5D3E" w:rsidRDefault="009D5D3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D3DE" w14:textId="1E3D860D" w:rsidR="009D5D3E" w:rsidRDefault="009D5D3E" w:rsidP="009D5D3E">
    <w:pPr>
      <w:pStyle w:val="Nagwek"/>
      <w:jc w:val="right"/>
    </w:pPr>
    <w:r>
      <w:t>Załącznik Nr 1 do Umowy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26D3441"/>
    <w:multiLevelType w:val="hybridMultilevel"/>
    <w:tmpl w:val="B73E51BE"/>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035E4C9A"/>
    <w:multiLevelType w:val="hybridMultilevel"/>
    <w:tmpl w:val="F70AF5A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6" w15:restartNumberingAfterBreak="0">
    <w:nsid w:val="066458F3"/>
    <w:multiLevelType w:val="hybridMultilevel"/>
    <w:tmpl w:val="4B78C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089907DA"/>
    <w:multiLevelType w:val="hybridMultilevel"/>
    <w:tmpl w:val="A16ACC2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BF62030"/>
    <w:multiLevelType w:val="hybridMultilevel"/>
    <w:tmpl w:val="0F28DBDC"/>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0C0F5B15"/>
    <w:multiLevelType w:val="hybridMultilevel"/>
    <w:tmpl w:val="F4003160"/>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0D262E25"/>
    <w:multiLevelType w:val="hybridMultilevel"/>
    <w:tmpl w:val="FDE86B4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4151FB4"/>
    <w:multiLevelType w:val="hybridMultilevel"/>
    <w:tmpl w:val="C98A4F14"/>
    <w:lvl w:ilvl="0" w:tplc="1F4ACEC8">
      <w:start w:val="1"/>
      <w:numFmt w:val="lowerLetter"/>
      <w:lvlText w:val="%1."/>
      <w:lvlJc w:val="left"/>
      <w:pPr>
        <w:ind w:left="1146" w:hanging="360"/>
      </w:pPr>
      <w:rPr>
        <w:rFonts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17455DA6"/>
    <w:multiLevelType w:val="hybridMultilevel"/>
    <w:tmpl w:val="C276B74E"/>
    <w:lvl w:ilvl="0" w:tplc="04150001">
      <w:start w:val="1"/>
      <w:numFmt w:val="bullet"/>
      <w:lvlText w:val=""/>
      <w:lvlJc w:val="left"/>
      <w:pPr>
        <w:ind w:left="1146" w:hanging="360"/>
      </w:pPr>
      <w:rPr>
        <w:rFonts w:ascii="Symbol" w:hAnsi="Symbol" w:hint="default"/>
      </w:rPr>
    </w:lvl>
    <w:lvl w:ilvl="1" w:tplc="04150017">
      <w:start w:val="1"/>
      <w:numFmt w:val="lowerLetter"/>
      <w:lvlText w:val="%2)"/>
      <w:lvlJc w:val="left"/>
      <w:pPr>
        <w:ind w:left="1866" w:hanging="360"/>
      </w:pPr>
      <w:rPr>
        <w:rFonts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17BF2B93"/>
    <w:multiLevelType w:val="hybridMultilevel"/>
    <w:tmpl w:val="B92A10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1" w15:restartNumberingAfterBreak="0">
    <w:nsid w:val="18924C41"/>
    <w:multiLevelType w:val="hybridMultilevel"/>
    <w:tmpl w:val="546AF86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3"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218B7B3D"/>
    <w:multiLevelType w:val="hybridMultilevel"/>
    <w:tmpl w:val="6FA43F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6B7D7C"/>
    <w:multiLevelType w:val="hybridMultilevel"/>
    <w:tmpl w:val="2BDE510A"/>
    <w:lvl w:ilvl="0" w:tplc="1022672A">
      <w:start w:val="1"/>
      <w:numFmt w:val="decimal"/>
      <w:lvlText w:val="%1."/>
      <w:lvlJc w:val="left"/>
      <w:pPr>
        <w:ind w:left="792" w:hanging="360"/>
      </w:pPr>
      <w:rPr>
        <w:rFonts w:hint="default"/>
      </w:rPr>
    </w:lvl>
    <w:lvl w:ilvl="1" w:tplc="04150019">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6" w15:restartNumberingAfterBreak="0">
    <w:nsid w:val="23872113"/>
    <w:multiLevelType w:val="hybridMultilevel"/>
    <w:tmpl w:val="26644902"/>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295F6CE7"/>
    <w:multiLevelType w:val="hybridMultilevel"/>
    <w:tmpl w:val="179AAE84"/>
    <w:lvl w:ilvl="0" w:tplc="1F4ACEC8">
      <w:start w:val="1"/>
      <w:numFmt w:val="lowerLetter"/>
      <w:lvlText w:val="%1."/>
      <w:lvlJc w:val="left"/>
      <w:pPr>
        <w:ind w:left="1068" w:hanging="360"/>
      </w:pPr>
      <w:rPr>
        <w:rFonts w:hint="default"/>
      </w:rPr>
    </w:lvl>
    <w:lvl w:ilvl="1" w:tplc="96B4E60E">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6C553A2"/>
    <w:multiLevelType w:val="hybridMultilevel"/>
    <w:tmpl w:val="6CE6466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B9177FD"/>
    <w:multiLevelType w:val="hybridMultilevel"/>
    <w:tmpl w:val="E7AC378E"/>
    <w:lvl w:ilvl="0" w:tplc="BE78964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E869EC"/>
    <w:multiLevelType w:val="hybridMultilevel"/>
    <w:tmpl w:val="A2704F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12A3CBA"/>
    <w:multiLevelType w:val="hybridMultilevel"/>
    <w:tmpl w:val="C8EECAEA"/>
    <w:lvl w:ilvl="0" w:tplc="0415000F">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38"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40"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B5D008C"/>
    <w:multiLevelType w:val="hybridMultilevel"/>
    <w:tmpl w:val="6A187AC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43" w15:restartNumberingAfterBreak="0">
    <w:nsid w:val="51F313C1"/>
    <w:multiLevelType w:val="hybridMultilevel"/>
    <w:tmpl w:val="0290A5C6"/>
    <w:lvl w:ilvl="0" w:tplc="FFFFFFFF">
      <w:start w:val="1"/>
      <w:numFmt w:val="decimal"/>
      <w:pStyle w:val="Referencja"/>
      <w:lvlText w:val="[%1]"/>
      <w:lvlJc w:val="right"/>
      <w:pPr>
        <w:tabs>
          <w:tab w:val="num" w:pos="1440"/>
        </w:tabs>
        <w:ind w:left="1440" w:hanging="180"/>
      </w:pPr>
      <w:rPr>
        <w:rFonts w:hint="default"/>
      </w:rPr>
    </w:lvl>
    <w:lvl w:ilvl="1" w:tplc="FFFFFFFF">
      <w:start w:val="1"/>
      <w:numFmt w:val="lowerLetter"/>
      <w:pStyle w:val="TSZHeading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3E65851"/>
    <w:multiLevelType w:val="hybridMultilevel"/>
    <w:tmpl w:val="E10ADA6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5" w15:restartNumberingAfterBreak="0">
    <w:nsid w:val="55242062"/>
    <w:multiLevelType w:val="hybridMultilevel"/>
    <w:tmpl w:val="28C8C58C"/>
    <w:lvl w:ilvl="0" w:tplc="04150001">
      <w:start w:val="1"/>
      <w:numFmt w:val="bullet"/>
      <w:lvlText w:val=""/>
      <w:lvlJc w:val="left"/>
      <w:pPr>
        <w:ind w:left="1422" w:hanging="360"/>
      </w:pPr>
      <w:rPr>
        <w:rFonts w:ascii="Symbol" w:hAnsi="Symbol" w:hint="default"/>
      </w:rPr>
    </w:lvl>
    <w:lvl w:ilvl="1" w:tplc="04150003">
      <w:start w:val="1"/>
      <w:numFmt w:val="bullet"/>
      <w:lvlText w:val="o"/>
      <w:lvlJc w:val="left"/>
      <w:pPr>
        <w:ind w:left="2142" w:hanging="360"/>
      </w:pPr>
      <w:rPr>
        <w:rFonts w:ascii="Courier New" w:hAnsi="Courier New" w:cs="Courier New" w:hint="default"/>
      </w:rPr>
    </w:lvl>
    <w:lvl w:ilvl="2" w:tplc="04150005" w:tentative="1">
      <w:start w:val="1"/>
      <w:numFmt w:val="bullet"/>
      <w:lvlText w:val=""/>
      <w:lvlJc w:val="left"/>
      <w:pPr>
        <w:ind w:left="2862" w:hanging="360"/>
      </w:pPr>
      <w:rPr>
        <w:rFonts w:ascii="Wingdings" w:hAnsi="Wingdings" w:hint="default"/>
      </w:rPr>
    </w:lvl>
    <w:lvl w:ilvl="3" w:tplc="04150001" w:tentative="1">
      <w:start w:val="1"/>
      <w:numFmt w:val="bullet"/>
      <w:lvlText w:val=""/>
      <w:lvlJc w:val="left"/>
      <w:pPr>
        <w:ind w:left="3582" w:hanging="360"/>
      </w:pPr>
      <w:rPr>
        <w:rFonts w:ascii="Symbol" w:hAnsi="Symbol" w:hint="default"/>
      </w:rPr>
    </w:lvl>
    <w:lvl w:ilvl="4" w:tplc="04150003" w:tentative="1">
      <w:start w:val="1"/>
      <w:numFmt w:val="bullet"/>
      <w:lvlText w:val="o"/>
      <w:lvlJc w:val="left"/>
      <w:pPr>
        <w:ind w:left="4302" w:hanging="360"/>
      </w:pPr>
      <w:rPr>
        <w:rFonts w:ascii="Courier New" w:hAnsi="Courier New" w:cs="Courier New" w:hint="default"/>
      </w:rPr>
    </w:lvl>
    <w:lvl w:ilvl="5" w:tplc="04150005" w:tentative="1">
      <w:start w:val="1"/>
      <w:numFmt w:val="bullet"/>
      <w:lvlText w:val=""/>
      <w:lvlJc w:val="left"/>
      <w:pPr>
        <w:ind w:left="5022" w:hanging="360"/>
      </w:pPr>
      <w:rPr>
        <w:rFonts w:ascii="Wingdings" w:hAnsi="Wingdings" w:hint="default"/>
      </w:rPr>
    </w:lvl>
    <w:lvl w:ilvl="6" w:tplc="04150001" w:tentative="1">
      <w:start w:val="1"/>
      <w:numFmt w:val="bullet"/>
      <w:lvlText w:val=""/>
      <w:lvlJc w:val="left"/>
      <w:pPr>
        <w:ind w:left="5742" w:hanging="360"/>
      </w:pPr>
      <w:rPr>
        <w:rFonts w:ascii="Symbol" w:hAnsi="Symbol" w:hint="default"/>
      </w:rPr>
    </w:lvl>
    <w:lvl w:ilvl="7" w:tplc="04150003" w:tentative="1">
      <w:start w:val="1"/>
      <w:numFmt w:val="bullet"/>
      <w:lvlText w:val="o"/>
      <w:lvlJc w:val="left"/>
      <w:pPr>
        <w:ind w:left="6462" w:hanging="360"/>
      </w:pPr>
      <w:rPr>
        <w:rFonts w:ascii="Courier New" w:hAnsi="Courier New" w:cs="Courier New" w:hint="default"/>
      </w:rPr>
    </w:lvl>
    <w:lvl w:ilvl="8" w:tplc="04150005" w:tentative="1">
      <w:start w:val="1"/>
      <w:numFmt w:val="bullet"/>
      <w:lvlText w:val=""/>
      <w:lvlJc w:val="left"/>
      <w:pPr>
        <w:ind w:left="7182" w:hanging="360"/>
      </w:pPr>
      <w:rPr>
        <w:rFonts w:ascii="Wingdings" w:hAnsi="Wingdings" w:hint="default"/>
      </w:rPr>
    </w:lvl>
  </w:abstractNum>
  <w:abstractNum w:abstractNumId="46" w15:restartNumberingAfterBreak="0">
    <w:nsid w:val="57A4660F"/>
    <w:multiLevelType w:val="hybridMultilevel"/>
    <w:tmpl w:val="1026066A"/>
    <w:lvl w:ilvl="0" w:tplc="1F4ACEC8">
      <w:start w:val="1"/>
      <w:numFmt w:val="lowerLetter"/>
      <w:lvlText w:val="%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641C5E7A"/>
    <w:multiLevelType w:val="hybridMultilevel"/>
    <w:tmpl w:val="964E971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52" w15:restartNumberingAfterBreak="0">
    <w:nsid w:val="6A0A3E16"/>
    <w:multiLevelType w:val="hybridMultilevel"/>
    <w:tmpl w:val="3BB4F3A4"/>
    <w:lvl w:ilvl="0" w:tplc="BBD0B2EC">
      <w:start w:val="1"/>
      <w:numFmt w:val="decimal"/>
      <w:lvlText w:val="%1."/>
      <w:lvlJc w:val="left"/>
      <w:pPr>
        <w:ind w:left="786" w:hanging="360"/>
      </w:pPr>
      <w:rPr>
        <w:rFonts w:hint="default"/>
      </w:rPr>
    </w:lvl>
    <w:lvl w:ilvl="1" w:tplc="E5906CDE">
      <w:start w:val="3"/>
      <w:numFmt w:val="bullet"/>
      <w:lvlText w:val="•"/>
      <w:lvlJc w:val="left"/>
      <w:pPr>
        <w:ind w:left="1506" w:hanging="360"/>
      </w:pPr>
      <w:rPr>
        <w:rFonts w:ascii="Arial" w:eastAsia="Calibri" w:hAnsi="Arial" w:cs="Arial" w:hint="default"/>
      </w:rPr>
    </w:lvl>
    <w:lvl w:ilvl="2" w:tplc="CAFEF5AC">
      <w:start w:val="1"/>
      <w:numFmt w:val="lowerLetter"/>
      <w:lvlText w:val="%3."/>
      <w:lvlJc w:val="left"/>
      <w:pPr>
        <w:ind w:left="2406" w:hanging="360"/>
      </w:pPr>
      <w:rPr>
        <w:rFonts w:hint="default"/>
      </w:rPr>
    </w:lvl>
    <w:lvl w:ilvl="3" w:tplc="A4783244">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6B1E319E"/>
    <w:multiLevelType w:val="hybridMultilevel"/>
    <w:tmpl w:val="87A6657A"/>
    <w:lvl w:ilvl="0" w:tplc="0415000F">
      <w:start w:val="1"/>
      <w:numFmt w:val="decimal"/>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57" w15:restartNumberingAfterBreak="0">
    <w:nsid w:val="6F567BEF"/>
    <w:multiLevelType w:val="hybridMultilevel"/>
    <w:tmpl w:val="887099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50054D"/>
    <w:multiLevelType w:val="hybridMultilevel"/>
    <w:tmpl w:val="84867416"/>
    <w:lvl w:ilvl="0" w:tplc="D29435BC">
      <w:start w:val="1"/>
      <w:numFmt w:val="bullet"/>
      <w:lvlText w:val=""/>
      <w:lvlJc w:val="left"/>
      <w:pPr>
        <w:ind w:left="720" w:hanging="360"/>
      </w:pPr>
      <w:rPr>
        <w:rFonts w:ascii="Symbol" w:hAnsi="Symbol" w:hint="default"/>
      </w:rPr>
    </w:lvl>
    <w:lvl w:ilvl="1" w:tplc="C8EA5764">
      <w:start w:val="1"/>
      <w:numFmt w:val="bullet"/>
      <w:lvlText w:val="o"/>
      <w:lvlJc w:val="left"/>
      <w:pPr>
        <w:ind w:left="1440" w:hanging="360"/>
      </w:pPr>
      <w:rPr>
        <w:rFonts w:ascii="Courier New" w:hAnsi="Courier New" w:hint="default"/>
      </w:rPr>
    </w:lvl>
    <w:lvl w:ilvl="2" w:tplc="F6A81F1A">
      <w:start w:val="1"/>
      <w:numFmt w:val="bullet"/>
      <w:lvlText w:val=""/>
      <w:lvlJc w:val="left"/>
      <w:pPr>
        <w:ind w:left="2160" w:hanging="360"/>
      </w:pPr>
      <w:rPr>
        <w:rFonts w:ascii="Wingdings" w:hAnsi="Wingdings" w:hint="default"/>
      </w:rPr>
    </w:lvl>
    <w:lvl w:ilvl="3" w:tplc="921243BC">
      <w:start w:val="1"/>
      <w:numFmt w:val="bullet"/>
      <w:lvlText w:val=""/>
      <w:lvlJc w:val="left"/>
      <w:pPr>
        <w:ind w:left="2880" w:hanging="360"/>
      </w:pPr>
      <w:rPr>
        <w:rFonts w:ascii="Symbol" w:hAnsi="Symbol" w:hint="default"/>
      </w:rPr>
    </w:lvl>
    <w:lvl w:ilvl="4" w:tplc="FA8EE490">
      <w:start w:val="1"/>
      <w:numFmt w:val="bullet"/>
      <w:lvlText w:val="o"/>
      <w:lvlJc w:val="left"/>
      <w:pPr>
        <w:ind w:left="3600" w:hanging="360"/>
      </w:pPr>
      <w:rPr>
        <w:rFonts w:ascii="Courier New" w:hAnsi="Courier New" w:hint="default"/>
      </w:rPr>
    </w:lvl>
    <w:lvl w:ilvl="5" w:tplc="FB742D20">
      <w:start w:val="1"/>
      <w:numFmt w:val="bullet"/>
      <w:lvlText w:val=""/>
      <w:lvlJc w:val="left"/>
      <w:pPr>
        <w:ind w:left="4320" w:hanging="360"/>
      </w:pPr>
      <w:rPr>
        <w:rFonts w:ascii="Wingdings" w:hAnsi="Wingdings" w:hint="default"/>
      </w:rPr>
    </w:lvl>
    <w:lvl w:ilvl="6" w:tplc="A310352E">
      <w:start w:val="1"/>
      <w:numFmt w:val="bullet"/>
      <w:lvlText w:val=""/>
      <w:lvlJc w:val="left"/>
      <w:pPr>
        <w:ind w:left="5040" w:hanging="360"/>
      </w:pPr>
      <w:rPr>
        <w:rFonts w:ascii="Symbol" w:hAnsi="Symbol" w:hint="default"/>
      </w:rPr>
    </w:lvl>
    <w:lvl w:ilvl="7" w:tplc="A1BEA688">
      <w:start w:val="1"/>
      <w:numFmt w:val="bullet"/>
      <w:lvlText w:val="o"/>
      <w:lvlJc w:val="left"/>
      <w:pPr>
        <w:ind w:left="5760" w:hanging="360"/>
      </w:pPr>
      <w:rPr>
        <w:rFonts w:ascii="Courier New" w:hAnsi="Courier New" w:hint="default"/>
      </w:rPr>
    </w:lvl>
    <w:lvl w:ilvl="8" w:tplc="1D243E64">
      <w:start w:val="1"/>
      <w:numFmt w:val="bullet"/>
      <w:lvlText w:val=""/>
      <w:lvlJc w:val="left"/>
      <w:pPr>
        <w:ind w:left="6480" w:hanging="360"/>
      </w:pPr>
      <w:rPr>
        <w:rFonts w:ascii="Wingdings" w:hAnsi="Wingdings" w:hint="default"/>
      </w:rPr>
    </w:lvl>
  </w:abstractNum>
  <w:abstractNum w:abstractNumId="59" w15:restartNumberingAfterBreak="0">
    <w:nsid w:val="70B4F291"/>
    <w:multiLevelType w:val="hybridMultilevel"/>
    <w:tmpl w:val="57F4954C"/>
    <w:lvl w:ilvl="0" w:tplc="3148DEB4">
      <w:start w:val="1"/>
      <w:numFmt w:val="bullet"/>
      <w:lvlText w:val=""/>
      <w:lvlJc w:val="left"/>
      <w:pPr>
        <w:ind w:left="720" w:hanging="360"/>
      </w:pPr>
      <w:rPr>
        <w:rFonts w:ascii="Symbol" w:hAnsi="Symbol" w:hint="default"/>
      </w:rPr>
    </w:lvl>
    <w:lvl w:ilvl="1" w:tplc="253CCED0">
      <w:start w:val="1"/>
      <w:numFmt w:val="bullet"/>
      <w:lvlText w:val="o"/>
      <w:lvlJc w:val="left"/>
      <w:pPr>
        <w:ind w:left="1440" w:hanging="360"/>
      </w:pPr>
      <w:rPr>
        <w:rFonts w:ascii="Courier New" w:hAnsi="Courier New" w:hint="default"/>
      </w:rPr>
    </w:lvl>
    <w:lvl w:ilvl="2" w:tplc="A5D41F80">
      <w:start w:val="1"/>
      <w:numFmt w:val="bullet"/>
      <w:lvlText w:val=""/>
      <w:lvlJc w:val="left"/>
      <w:pPr>
        <w:ind w:left="2160" w:hanging="360"/>
      </w:pPr>
      <w:rPr>
        <w:rFonts w:ascii="Wingdings" w:hAnsi="Wingdings" w:hint="default"/>
      </w:rPr>
    </w:lvl>
    <w:lvl w:ilvl="3" w:tplc="C04CC7E0">
      <w:start w:val="1"/>
      <w:numFmt w:val="bullet"/>
      <w:lvlText w:val=""/>
      <w:lvlJc w:val="left"/>
      <w:pPr>
        <w:ind w:left="2880" w:hanging="360"/>
      </w:pPr>
      <w:rPr>
        <w:rFonts w:ascii="Symbol" w:hAnsi="Symbol" w:hint="default"/>
      </w:rPr>
    </w:lvl>
    <w:lvl w:ilvl="4" w:tplc="69CEA472">
      <w:start w:val="1"/>
      <w:numFmt w:val="bullet"/>
      <w:lvlText w:val="o"/>
      <w:lvlJc w:val="left"/>
      <w:pPr>
        <w:ind w:left="3600" w:hanging="360"/>
      </w:pPr>
      <w:rPr>
        <w:rFonts w:ascii="Courier New" w:hAnsi="Courier New" w:hint="default"/>
      </w:rPr>
    </w:lvl>
    <w:lvl w:ilvl="5" w:tplc="12A0F160">
      <w:start w:val="1"/>
      <w:numFmt w:val="bullet"/>
      <w:lvlText w:val=""/>
      <w:lvlJc w:val="left"/>
      <w:pPr>
        <w:ind w:left="4320" w:hanging="360"/>
      </w:pPr>
      <w:rPr>
        <w:rFonts w:ascii="Wingdings" w:hAnsi="Wingdings" w:hint="default"/>
      </w:rPr>
    </w:lvl>
    <w:lvl w:ilvl="6" w:tplc="889E9F56">
      <w:start w:val="1"/>
      <w:numFmt w:val="bullet"/>
      <w:lvlText w:val=""/>
      <w:lvlJc w:val="left"/>
      <w:pPr>
        <w:ind w:left="5040" w:hanging="360"/>
      </w:pPr>
      <w:rPr>
        <w:rFonts w:ascii="Symbol" w:hAnsi="Symbol" w:hint="default"/>
      </w:rPr>
    </w:lvl>
    <w:lvl w:ilvl="7" w:tplc="4A7A8536">
      <w:start w:val="1"/>
      <w:numFmt w:val="bullet"/>
      <w:lvlText w:val="o"/>
      <w:lvlJc w:val="left"/>
      <w:pPr>
        <w:ind w:left="5760" w:hanging="360"/>
      </w:pPr>
      <w:rPr>
        <w:rFonts w:ascii="Courier New" w:hAnsi="Courier New" w:hint="default"/>
      </w:rPr>
    </w:lvl>
    <w:lvl w:ilvl="8" w:tplc="EF96101C">
      <w:start w:val="1"/>
      <w:numFmt w:val="bullet"/>
      <w:lvlText w:val=""/>
      <w:lvlJc w:val="left"/>
      <w:pPr>
        <w:ind w:left="6480" w:hanging="360"/>
      </w:pPr>
      <w:rPr>
        <w:rFonts w:ascii="Wingdings" w:hAnsi="Wingdings" w:hint="default"/>
      </w:rPr>
    </w:lvl>
  </w:abstractNum>
  <w:abstractNum w:abstractNumId="6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758F43C7"/>
    <w:multiLevelType w:val="hybridMultilevel"/>
    <w:tmpl w:val="F6D4B44E"/>
    <w:lvl w:ilvl="0" w:tplc="0415000F">
      <w:start w:val="1"/>
      <w:numFmt w:val="decimal"/>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94A4D16"/>
    <w:multiLevelType w:val="hybridMultilevel"/>
    <w:tmpl w:val="2A06A1EA"/>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7B681DB3"/>
    <w:multiLevelType w:val="multilevel"/>
    <w:tmpl w:val="F03CB5AA"/>
    <w:numStyleLink w:val="Styl2"/>
  </w:abstractNum>
  <w:abstractNum w:abstractNumId="69" w15:restartNumberingAfterBreak="0">
    <w:nsid w:val="7B9130B5"/>
    <w:multiLevelType w:val="hybridMultilevel"/>
    <w:tmpl w:val="81BCA9F8"/>
    <w:lvl w:ilvl="0" w:tplc="1F4ACEC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1" w15:restartNumberingAfterBreak="0">
    <w:nsid w:val="7EF3040F"/>
    <w:multiLevelType w:val="hybridMultilevel"/>
    <w:tmpl w:val="C470951E"/>
    <w:lvl w:ilvl="0" w:tplc="AC98AFB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052580394">
    <w:abstractNumId w:val="58"/>
  </w:num>
  <w:num w:numId="2" w16cid:durableId="85737625">
    <w:abstractNumId w:val="59"/>
  </w:num>
  <w:num w:numId="3" w16cid:durableId="1806925270">
    <w:abstractNumId w:val="22"/>
  </w:num>
  <w:num w:numId="4" w16cid:durableId="2013145107">
    <w:abstractNumId w:val="40"/>
  </w:num>
  <w:num w:numId="5" w16cid:durableId="738746780">
    <w:abstractNumId w:val="49"/>
  </w:num>
  <w:num w:numId="6" w16cid:durableId="326253868">
    <w:abstractNumId w:val="65"/>
  </w:num>
  <w:num w:numId="7" w16cid:durableId="1259408885">
    <w:abstractNumId w:val="34"/>
  </w:num>
  <w:num w:numId="8" w16cid:durableId="1519462820">
    <w:abstractNumId w:val="7"/>
  </w:num>
  <w:num w:numId="9" w16cid:durableId="1372612029">
    <w:abstractNumId w:val="53"/>
  </w:num>
  <w:num w:numId="10" w16cid:durableId="186800541">
    <w:abstractNumId w:val="67"/>
  </w:num>
  <w:num w:numId="11" w16cid:durableId="860969833">
    <w:abstractNumId w:val="14"/>
  </w:num>
  <w:num w:numId="12" w16cid:durableId="616063395">
    <w:abstractNumId w:val="1"/>
  </w:num>
  <w:num w:numId="13" w16cid:durableId="1248227647">
    <w:abstractNumId w:val="0"/>
  </w:num>
  <w:num w:numId="14" w16cid:durableId="6959295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0979217">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5187757">
    <w:abstractNumId w:val="51"/>
  </w:num>
  <w:num w:numId="17" w16cid:durableId="584386367">
    <w:abstractNumId w:val="17"/>
  </w:num>
  <w:num w:numId="18" w16cid:durableId="1839542233">
    <w:abstractNumId w:val="70"/>
  </w:num>
  <w:num w:numId="19" w16cid:durableId="473528932">
    <w:abstractNumId w:val="2"/>
  </w:num>
  <w:num w:numId="20" w16cid:durableId="390933255">
    <w:abstractNumId w:val="63"/>
  </w:num>
  <w:num w:numId="21" w16cid:durableId="778332366">
    <w:abstractNumId w:val="42"/>
  </w:num>
  <w:num w:numId="22" w16cid:durableId="54015486">
    <w:abstractNumId w:val="60"/>
  </w:num>
  <w:num w:numId="23" w16cid:durableId="196545137">
    <w:abstractNumId w:val="61"/>
  </w:num>
  <w:num w:numId="24" w16cid:durableId="1335378864">
    <w:abstractNumId w:val="8"/>
  </w:num>
  <w:num w:numId="25" w16cid:durableId="75980143">
    <w:abstractNumId w:val="36"/>
  </w:num>
  <w:num w:numId="26" w16cid:durableId="1849710438">
    <w:abstractNumId w:val="37"/>
  </w:num>
  <w:num w:numId="27" w16cid:durableId="827407554">
    <w:abstractNumId w:val="56"/>
  </w:num>
  <w:num w:numId="28" w16cid:durableId="1836843128">
    <w:abstractNumId w:val="38"/>
  </w:num>
  <w:num w:numId="29" w16cid:durableId="1022558485">
    <w:abstractNumId w:val="55"/>
  </w:num>
  <w:num w:numId="30" w16cid:durableId="225341005">
    <w:abstractNumId w:val="47"/>
  </w:num>
  <w:num w:numId="31" w16cid:durableId="1256402487">
    <w:abstractNumId w:val="27"/>
  </w:num>
  <w:num w:numId="32" w16cid:durableId="2010476638">
    <w:abstractNumId w:val="15"/>
  </w:num>
  <w:num w:numId="33" w16cid:durableId="757556036">
    <w:abstractNumId w:val="48"/>
  </w:num>
  <w:num w:numId="34" w16cid:durableId="1478644254">
    <w:abstractNumId w:val="33"/>
  </w:num>
  <w:num w:numId="35" w16cid:durableId="301010983">
    <w:abstractNumId w:val="62"/>
  </w:num>
  <w:num w:numId="36" w16cid:durableId="1921255845">
    <w:abstractNumId w:val="20"/>
  </w:num>
  <w:num w:numId="37" w16cid:durableId="2113695549">
    <w:abstractNumId w:val="66"/>
  </w:num>
  <w:num w:numId="38" w16cid:durableId="1920098477">
    <w:abstractNumId w:val="5"/>
  </w:num>
  <w:num w:numId="39" w16cid:durableId="1679581056">
    <w:abstractNumId w:val="9"/>
  </w:num>
  <w:num w:numId="40" w16cid:durableId="1427731945">
    <w:abstractNumId w:val="23"/>
  </w:num>
  <w:num w:numId="41" w16cid:durableId="946349231">
    <w:abstractNumId w:val="68"/>
    <w:lvlOverride w:ilvl="0">
      <w:lvl w:ilvl="0">
        <w:start w:val="1"/>
        <w:numFmt w:val="ordinal"/>
        <w:lvlText w:val="%1"/>
        <w:lvlJc w:val="left"/>
        <w:pPr>
          <w:ind w:left="720" w:hanging="360"/>
        </w:pPr>
        <w:rPr>
          <w:rFonts w:hint="default"/>
          <w:b w:val="0"/>
          <w:bCs/>
        </w:rPr>
      </w:lvl>
    </w:lvlOverride>
    <w:lvlOverride w:ilvl="1">
      <w:lvl w:ilvl="1">
        <w:start w:val="1"/>
        <w:numFmt w:val="none"/>
        <w:lvlText w:val="1)"/>
        <w:lvlJc w:val="left"/>
        <w:pPr>
          <w:ind w:left="1080" w:hanging="360"/>
        </w:pPr>
        <w:rPr>
          <w:rFonts w:hint="default"/>
        </w:rPr>
      </w:lvl>
    </w:lvlOverride>
    <w:lvlOverride w:ilvl="2">
      <w:lvl w:ilvl="2">
        <w:start w:val="1"/>
        <w:numFmt w:val="bullet"/>
        <w:lvlText w:val=""/>
        <w:lvlJc w:val="left"/>
        <w:pPr>
          <w:ind w:left="1288" w:hanging="360"/>
        </w:pPr>
        <w:rPr>
          <w:rFonts w:ascii="Symbol" w:hAnsi="Symbol" w:hint="default"/>
        </w:rPr>
      </w:lvl>
    </w:lvlOverride>
    <w:lvlOverride w:ilvl="3">
      <w:lvl w:ilvl="3">
        <w:start w:val="1"/>
        <w:numFmt w:val="lowerLetter"/>
        <w:lvlText w:val="%4.)"/>
        <w:lvlJc w:val="left"/>
        <w:pPr>
          <w:ind w:left="1855" w:hanging="360"/>
        </w:pPr>
        <w:rPr>
          <w:rFonts w:hint="default"/>
          <w:b w:val="0"/>
        </w:rPr>
      </w:lvl>
    </w:lvlOverride>
    <w:lvlOverride w:ilvl="4">
      <w:lvl w:ilvl="4">
        <w:start w:val="1"/>
        <w:numFmt w:val="decimal"/>
        <w:lvlText w:val="%5."/>
        <w:lvlJc w:val="left"/>
        <w:pPr>
          <w:ind w:left="2160" w:hanging="360"/>
        </w:pPr>
        <w:rPr>
          <w:rFonts w:hint="default"/>
        </w:rPr>
      </w:lvl>
    </w:lvlOverride>
    <w:lvlOverride w:ilvl="5">
      <w:lvl w:ilvl="5">
        <w:start w:val="1"/>
        <w:numFmt w:val="none"/>
        <w:lvlText w:val="(%6)"/>
        <w:lvlJc w:val="left"/>
        <w:pPr>
          <w:ind w:left="2520" w:hanging="360"/>
        </w:pPr>
        <w:rPr>
          <w:rFonts w:hint="default"/>
        </w:rPr>
      </w:lvl>
    </w:lvlOverride>
    <w:lvlOverride w:ilvl="6">
      <w:lvl w:ilvl="6">
        <w:start w:val="1"/>
        <w:numFmt w:val="none"/>
        <w:lvlText w:val="%7."/>
        <w:lvlJc w:val="left"/>
        <w:pPr>
          <w:ind w:left="2880" w:hanging="360"/>
        </w:pPr>
        <w:rPr>
          <w:rFonts w:hint="default"/>
        </w:rPr>
      </w:lvl>
    </w:lvlOverride>
    <w:lvlOverride w:ilvl="7">
      <w:lvl w:ilvl="7">
        <w:start w:val="1"/>
        <w:numFmt w:val="none"/>
        <w:lvlText w:val="%8."/>
        <w:lvlJc w:val="left"/>
        <w:pPr>
          <w:ind w:left="3240" w:hanging="360"/>
        </w:pPr>
        <w:rPr>
          <w:rFonts w:hint="default"/>
        </w:rPr>
      </w:lvl>
    </w:lvlOverride>
    <w:lvlOverride w:ilvl="8">
      <w:lvl w:ilvl="8">
        <w:start w:val="1"/>
        <w:numFmt w:val="none"/>
        <w:lvlText w:val="%9."/>
        <w:lvlJc w:val="left"/>
        <w:pPr>
          <w:ind w:left="3600" w:hanging="360"/>
        </w:pPr>
        <w:rPr>
          <w:rFonts w:hint="default"/>
        </w:rPr>
      </w:lvl>
    </w:lvlOverride>
  </w:num>
  <w:num w:numId="42" w16cid:durableId="1028415552">
    <w:abstractNumId w:val="41"/>
  </w:num>
  <w:num w:numId="43" w16cid:durableId="1613853888">
    <w:abstractNumId w:val="30"/>
  </w:num>
  <w:num w:numId="44" w16cid:durableId="2036230090">
    <w:abstractNumId w:val="25"/>
  </w:num>
  <w:num w:numId="45" w16cid:durableId="404229899">
    <w:abstractNumId w:val="71"/>
  </w:num>
  <w:num w:numId="46" w16cid:durableId="948437677">
    <w:abstractNumId w:val="50"/>
  </w:num>
  <w:num w:numId="47" w16cid:durableId="1649241858">
    <w:abstractNumId w:val="52"/>
  </w:num>
  <w:num w:numId="48" w16cid:durableId="1256208385">
    <w:abstractNumId w:val="29"/>
  </w:num>
  <w:num w:numId="49" w16cid:durableId="790515306">
    <w:abstractNumId w:val="28"/>
  </w:num>
  <w:num w:numId="50" w16cid:durableId="979647478">
    <w:abstractNumId w:val="69"/>
  </w:num>
  <w:num w:numId="51" w16cid:durableId="260645323">
    <w:abstractNumId w:val="16"/>
  </w:num>
  <w:num w:numId="52" w16cid:durableId="433980112">
    <w:abstractNumId w:val="26"/>
  </w:num>
  <w:num w:numId="53" w16cid:durableId="49769889">
    <w:abstractNumId w:val="19"/>
  </w:num>
  <w:num w:numId="54" w16cid:durableId="1204248587">
    <w:abstractNumId w:val="46"/>
  </w:num>
  <w:num w:numId="55" w16cid:durableId="2076932356">
    <w:abstractNumId w:val="6"/>
  </w:num>
  <w:num w:numId="56" w16cid:durableId="780883213">
    <w:abstractNumId w:val="45"/>
  </w:num>
  <w:num w:numId="57" w16cid:durableId="699359309">
    <w:abstractNumId w:val="54"/>
  </w:num>
  <w:num w:numId="58" w16cid:durableId="816191798">
    <w:abstractNumId w:val="64"/>
  </w:num>
  <w:num w:numId="59" w16cid:durableId="839392545">
    <w:abstractNumId w:val="18"/>
  </w:num>
  <w:num w:numId="60" w16cid:durableId="759446679">
    <w:abstractNumId w:val="44"/>
  </w:num>
  <w:num w:numId="61" w16cid:durableId="468716037">
    <w:abstractNumId w:val="3"/>
  </w:num>
  <w:num w:numId="62" w16cid:durableId="843326017">
    <w:abstractNumId w:val="10"/>
  </w:num>
  <w:num w:numId="63" w16cid:durableId="1354725698">
    <w:abstractNumId w:val="24"/>
  </w:num>
  <w:num w:numId="64" w16cid:durableId="919755439">
    <w:abstractNumId w:val="31"/>
  </w:num>
  <w:num w:numId="65" w16cid:durableId="647713511">
    <w:abstractNumId w:val="32"/>
  </w:num>
  <w:num w:numId="66" w16cid:durableId="934749461">
    <w:abstractNumId w:val="21"/>
  </w:num>
  <w:num w:numId="67" w16cid:durableId="1038509855">
    <w:abstractNumId w:val="12"/>
  </w:num>
  <w:num w:numId="68" w16cid:durableId="1284381832">
    <w:abstractNumId w:val="11"/>
  </w:num>
  <w:num w:numId="69" w16cid:durableId="1272513641">
    <w:abstractNumId w:val="57"/>
  </w:num>
  <w:num w:numId="70" w16cid:durableId="265037418">
    <w:abstractNumId w:val="4"/>
  </w:num>
  <w:num w:numId="71" w16cid:durableId="395905358">
    <w:abstractNumId w:val="4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C11"/>
    <w:rsid w:val="00003D5A"/>
    <w:rsid w:val="00006C2E"/>
    <w:rsid w:val="00012D2E"/>
    <w:rsid w:val="00013BD6"/>
    <w:rsid w:val="00017B47"/>
    <w:rsid w:val="00023425"/>
    <w:rsid w:val="000264EA"/>
    <w:rsid w:val="00033526"/>
    <w:rsid w:val="0003388B"/>
    <w:rsid w:val="00034C39"/>
    <w:rsid w:val="0003594D"/>
    <w:rsid w:val="000438E3"/>
    <w:rsid w:val="00046930"/>
    <w:rsid w:val="00047214"/>
    <w:rsid w:val="0006621A"/>
    <w:rsid w:val="00072870"/>
    <w:rsid w:val="000A050D"/>
    <w:rsid w:val="000A586B"/>
    <w:rsid w:val="000B0930"/>
    <w:rsid w:val="000C2FEC"/>
    <w:rsid w:val="000C3CFB"/>
    <w:rsid w:val="000C4790"/>
    <w:rsid w:val="000C5678"/>
    <w:rsid w:val="000D3B07"/>
    <w:rsid w:val="000D4AB8"/>
    <w:rsid w:val="000F1034"/>
    <w:rsid w:val="000F2ABF"/>
    <w:rsid w:val="00100529"/>
    <w:rsid w:val="00102D44"/>
    <w:rsid w:val="00104E4D"/>
    <w:rsid w:val="00105A0C"/>
    <w:rsid w:val="00106FC3"/>
    <w:rsid w:val="00112E96"/>
    <w:rsid w:val="00115BCE"/>
    <w:rsid w:val="00116E49"/>
    <w:rsid w:val="00135E92"/>
    <w:rsid w:val="0014097E"/>
    <w:rsid w:val="001416A9"/>
    <w:rsid w:val="00142E5A"/>
    <w:rsid w:val="001445C9"/>
    <w:rsid w:val="00147074"/>
    <w:rsid w:val="00150538"/>
    <w:rsid w:val="0015113E"/>
    <w:rsid w:val="001524E1"/>
    <w:rsid w:val="00153D53"/>
    <w:rsid w:val="0015B548"/>
    <w:rsid w:val="00163A4F"/>
    <w:rsid w:val="0017688A"/>
    <w:rsid w:val="00180539"/>
    <w:rsid w:val="001838E2"/>
    <w:rsid w:val="0019050A"/>
    <w:rsid w:val="001C3158"/>
    <w:rsid w:val="001D2606"/>
    <w:rsid w:val="001D3251"/>
    <w:rsid w:val="001D4735"/>
    <w:rsid w:val="001D79AE"/>
    <w:rsid w:val="001F46FD"/>
    <w:rsid w:val="00200176"/>
    <w:rsid w:val="002011A7"/>
    <w:rsid w:val="00202140"/>
    <w:rsid w:val="002068AD"/>
    <w:rsid w:val="00211784"/>
    <w:rsid w:val="00224CCD"/>
    <w:rsid w:val="00233EFF"/>
    <w:rsid w:val="00235B3B"/>
    <w:rsid w:val="002402CB"/>
    <w:rsid w:val="0024665F"/>
    <w:rsid w:val="002503B4"/>
    <w:rsid w:val="00265822"/>
    <w:rsid w:val="002672D0"/>
    <w:rsid w:val="00272A1E"/>
    <w:rsid w:val="00280732"/>
    <w:rsid w:val="0028373E"/>
    <w:rsid w:val="0029375C"/>
    <w:rsid w:val="00294B44"/>
    <w:rsid w:val="002A20D7"/>
    <w:rsid w:val="002B6859"/>
    <w:rsid w:val="002C72BC"/>
    <w:rsid w:val="002E6247"/>
    <w:rsid w:val="002F3DE7"/>
    <w:rsid w:val="002F73DC"/>
    <w:rsid w:val="0030501C"/>
    <w:rsid w:val="003072AC"/>
    <w:rsid w:val="00324634"/>
    <w:rsid w:val="003256B6"/>
    <w:rsid w:val="00330306"/>
    <w:rsid w:val="00331408"/>
    <w:rsid w:val="003325CB"/>
    <w:rsid w:val="003404BB"/>
    <w:rsid w:val="003544B7"/>
    <w:rsid w:val="0035482F"/>
    <w:rsid w:val="00373CD7"/>
    <w:rsid w:val="00395E73"/>
    <w:rsid w:val="003B1A15"/>
    <w:rsid w:val="003B69E5"/>
    <w:rsid w:val="003C6D1D"/>
    <w:rsid w:val="003D243D"/>
    <w:rsid w:val="003D2D4C"/>
    <w:rsid w:val="003D665E"/>
    <w:rsid w:val="003E259D"/>
    <w:rsid w:val="003E3C35"/>
    <w:rsid w:val="003E627B"/>
    <w:rsid w:val="00401CA5"/>
    <w:rsid w:val="0040623E"/>
    <w:rsid w:val="0040644A"/>
    <w:rsid w:val="00412C29"/>
    <w:rsid w:val="004256AE"/>
    <w:rsid w:val="00433F41"/>
    <w:rsid w:val="004342E0"/>
    <w:rsid w:val="00435A56"/>
    <w:rsid w:val="00436CE5"/>
    <w:rsid w:val="0043785F"/>
    <w:rsid w:val="004524F0"/>
    <w:rsid w:val="00461E03"/>
    <w:rsid w:val="0046599B"/>
    <w:rsid w:val="004705D8"/>
    <w:rsid w:val="004713F8"/>
    <w:rsid w:val="0047420B"/>
    <w:rsid w:val="00477164"/>
    <w:rsid w:val="0048592B"/>
    <w:rsid w:val="00486C28"/>
    <w:rsid w:val="00492433"/>
    <w:rsid w:val="0049331D"/>
    <w:rsid w:val="004A6458"/>
    <w:rsid w:val="004B2E06"/>
    <w:rsid w:val="004B2FC9"/>
    <w:rsid w:val="004B409D"/>
    <w:rsid w:val="004B53D8"/>
    <w:rsid w:val="004B7C11"/>
    <w:rsid w:val="004D2F7B"/>
    <w:rsid w:val="004D3724"/>
    <w:rsid w:val="004D3E83"/>
    <w:rsid w:val="004E4AA7"/>
    <w:rsid w:val="004E5E31"/>
    <w:rsid w:val="004F0D42"/>
    <w:rsid w:val="004F18AA"/>
    <w:rsid w:val="004F68BF"/>
    <w:rsid w:val="00500E1D"/>
    <w:rsid w:val="00502CE5"/>
    <w:rsid w:val="00503345"/>
    <w:rsid w:val="00505529"/>
    <w:rsid w:val="00506C2C"/>
    <w:rsid w:val="00522478"/>
    <w:rsid w:val="005319DF"/>
    <w:rsid w:val="00535149"/>
    <w:rsid w:val="00535A93"/>
    <w:rsid w:val="005506CF"/>
    <w:rsid w:val="00551173"/>
    <w:rsid w:val="0055399D"/>
    <w:rsid w:val="00564262"/>
    <w:rsid w:val="00566516"/>
    <w:rsid w:val="005916C0"/>
    <w:rsid w:val="005A2BBA"/>
    <w:rsid w:val="005A5534"/>
    <w:rsid w:val="005B0941"/>
    <w:rsid w:val="005B5F7D"/>
    <w:rsid w:val="005C00D8"/>
    <w:rsid w:val="005C1729"/>
    <w:rsid w:val="005C35A1"/>
    <w:rsid w:val="005C5F32"/>
    <w:rsid w:val="005D33BF"/>
    <w:rsid w:val="005D405C"/>
    <w:rsid w:val="005E33B4"/>
    <w:rsid w:val="005F1482"/>
    <w:rsid w:val="005F4CE7"/>
    <w:rsid w:val="0061247A"/>
    <w:rsid w:val="006154BC"/>
    <w:rsid w:val="006252A4"/>
    <w:rsid w:val="00626185"/>
    <w:rsid w:val="00635CB7"/>
    <w:rsid w:val="0064029F"/>
    <w:rsid w:val="006420F8"/>
    <w:rsid w:val="00643536"/>
    <w:rsid w:val="00645402"/>
    <w:rsid w:val="00645ACE"/>
    <w:rsid w:val="00654029"/>
    <w:rsid w:val="006608C5"/>
    <w:rsid w:val="00662210"/>
    <w:rsid w:val="00662E2D"/>
    <w:rsid w:val="0066364B"/>
    <w:rsid w:val="00664AD8"/>
    <w:rsid w:val="00673127"/>
    <w:rsid w:val="00682232"/>
    <w:rsid w:val="006870BE"/>
    <w:rsid w:val="00690B80"/>
    <w:rsid w:val="006973C3"/>
    <w:rsid w:val="006A021B"/>
    <w:rsid w:val="006A2CDD"/>
    <w:rsid w:val="006A6110"/>
    <w:rsid w:val="006C6AF0"/>
    <w:rsid w:val="006D2CAD"/>
    <w:rsid w:val="006D7217"/>
    <w:rsid w:val="006E1FD8"/>
    <w:rsid w:val="006E7006"/>
    <w:rsid w:val="006F676C"/>
    <w:rsid w:val="007025E9"/>
    <w:rsid w:val="00703745"/>
    <w:rsid w:val="00711153"/>
    <w:rsid w:val="00712558"/>
    <w:rsid w:val="00715AC7"/>
    <w:rsid w:val="00717A61"/>
    <w:rsid w:val="00723D45"/>
    <w:rsid w:val="00734DA1"/>
    <w:rsid w:val="00750023"/>
    <w:rsid w:val="00763728"/>
    <w:rsid w:val="0079158F"/>
    <w:rsid w:val="0079587F"/>
    <w:rsid w:val="007A2F4A"/>
    <w:rsid w:val="007A79CE"/>
    <w:rsid w:val="007C4F39"/>
    <w:rsid w:val="007D1A49"/>
    <w:rsid w:val="007D251F"/>
    <w:rsid w:val="007D4AD6"/>
    <w:rsid w:val="007D6595"/>
    <w:rsid w:val="007D6DA1"/>
    <w:rsid w:val="008024E6"/>
    <w:rsid w:val="00802CCF"/>
    <w:rsid w:val="008078B8"/>
    <w:rsid w:val="00810275"/>
    <w:rsid w:val="00840D15"/>
    <w:rsid w:val="00853EE3"/>
    <w:rsid w:val="00857243"/>
    <w:rsid w:val="008615E2"/>
    <w:rsid w:val="00865E2A"/>
    <w:rsid w:val="00872A1C"/>
    <w:rsid w:val="00882027"/>
    <w:rsid w:val="00891866"/>
    <w:rsid w:val="00891DB1"/>
    <w:rsid w:val="00893A7E"/>
    <w:rsid w:val="008A0A31"/>
    <w:rsid w:val="008C14EB"/>
    <w:rsid w:val="008D1A6E"/>
    <w:rsid w:val="008D1D6D"/>
    <w:rsid w:val="008D401A"/>
    <w:rsid w:val="008E2F22"/>
    <w:rsid w:val="008F4BF6"/>
    <w:rsid w:val="0090338C"/>
    <w:rsid w:val="00944B0A"/>
    <w:rsid w:val="00950D17"/>
    <w:rsid w:val="00952C1C"/>
    <w:rsid w:val="009562B3"/>
    <w:rsid w:val="00957D21"/>
    <w:rsid w:val="0098781A"/>
    <w:rsid w:val="00990CD3"/>
    <w:rsid w:val="009A7947"/>
    <w:rsid w:val="009B695C"/>
    <w:rsid w:val="009C0378"/>
    <w:rsid w:val="009C1825"/>
    <w:rsid w:val="009C2A9A"/>
    <w:rsid w:val="009C7597"/>
    <w:rsid w:val="009D0FCD"/>
    <w:rsid w:val="009D57B4"/>
    <w:rsid w:val="009D5D3E"/>
    <w:rsid w:val="009F616E"/>
    <w:rsid w:val="00A115D2"/>
    <w:rsid w:val="00A13E63"/>
    <w:rsid w:val="00A21981"/>
    <w:rsid w:val="00A23B33"/>
    <w:rsid w:val="00A27D2F"/>
    <w:rsid w:val="00A30967"/>
    <w:rsid w:val="00A31003"/>
    <w:rsid w:val="00A35F5F"/>
    <w:rsid w:val="00A5099D"/>
    <w:rsid w:val="00A53F5B"/>
    <w:rsid w:val="00A56755"/>
    <w:rsid w:val="00A56D2A"/>
    <w:rsid w:val="00A57FE0"/>
    <w:rsid w:val="00A60E7F"/>
    <w:rsid w:val="00A6416B"/>
    <w:rsid w:val="00A81F4F"/>
    <w:rsid w:val="00A821EB"/>
    <w:rsid w:val="00A93AF8"/>
    <w:rsid w:val="00A93C57"/>
    <w:rsid w:val="00AA2A3F"/>
    <w:rsid w:val="00AA7F2C"/>
    <w:rsid w:val="00AC04D7"/>
    <w:rsid w:val="00AC4052"/>
    <w:rsid w:val="00AC6A98"/>
    <w:rsid w:val="00AD4573"/>
    <w:rsid w:val="00AE009E"/>
    <w:rsid w:val="00AE0D61"/>
    <w:rsid w:val="00AE72B3"/>
    <w:rsid w:val="00AF315D"/>
    <w:rsid w:val="00AF3A04"/>
    <w:rsid w:val="00AF3ED3"/>
    <w:rsid w:val="00AF7064"/>
    <w:rsid w:val="00B11D4A"/>
    <w:rsid w:val="00B23AC8"/>
    <w:rsid w:val="00B25ECF"/>
    <w:rsid w:val="00B32FC6"/>
    <w:rsid w:val="00B36075"/>
    <w:rsid w:val="00B36138"/>
    <w:rsid w:val="00B50E34"/>
    <w:rsid w:val="00B73E57"/>
    <w:rsid w:val="00B867C3"/>
    <w:rsid w:val="00BA3750"/>
    <w:rsid w:val="00BC2019"/>
    <w:rsid w:val="00BC2CC7"/>
    <w:rsid w:val="00BC54A0"/>
    <w:rsid w:val="00BD6177"/>
    <w:rsid w:val="00BD6607"/>
    <w:rsid w:val="00BE35E6"/>
    <w:rsid w:val="00C048CA"/>
    <w:rsid w:val="00C30BD7"/>
    <w:rsid w:val="00C3609B"/>
    <w:rsid w:val="00C36513"/>
    <w:rsid w:val="00C3752B"/>
    <w:rsid w:val="00C47E4E"/>
    <w:rsid w:val="00C5559F"/>
    <w:rsid w:val="00C651E7"/>
    <w:rsid w:val="00C67224"/>
    <w:rsid w:val="00C71B3E"/>
    <w:rsid w:val="00CA63E5"/>
    <w:rsid w:val="00CA682C"/>
    <w:rsid w:val="00CA74D8"/>
    <w:rsid w:val="00CB65CE"/>
    <w:rsid w:val="00CC0178"/>
    <w:rsid w:val="00CD709B"/>
    <w:rsid w:val="00CD78E5"/>
    <w:rsid w:val="00CF087F"/>
    <w:rsid w:val="00CF5B01"/>
    <w:rsid w:val="00D02404"/>
    <w:rsid w:val="00D14131"/>
    <w:rsid w:val="00D17D31"/>
    <w:rsid w:val="00D246E0"/>
    <w:rsid w:val="00D36983"/>
    <w:rsid w:val="00D478E2"/>
    <w:rsid w:val="00D51394"/>
    <w:rsid w:val="00D5392B"/>
    <w:rsid w:val="00D60E51"/>
    <w:rsid w:val="00D65C2A"/>
    <w:rsid w:val="00D71802"/>
    <w:rsid w:val="00D948DC"/>
    <w:rsid w:val="00DB47A0"/>
    <w:rsid w:val="00DB71F9"/>
    <w:rsid w:val="00DC4C78"/>
    <w:rsid w:val="00DC50A7"/>
    <w:rsid w:val="00DD088E"/>
    <w:rsid w:val="00DD3C21"/>
    <w:rsid w:val="00DE326F"/>
    <w:rsid w:val="00DE586C"/>
    <w:rsid w:val="00E11840"/>
    <w:rsid w:val="00E1580B"/>
    <w:rsid w:val="00E2443E"/>
    <w:rsid w:val="00E26502"/>
    <w:rsid w:val="00E31172"/>
    <w:rsid w:val="00E5147E"/>
    <w:rsid w:val="00E54572"/>
    <w:rsid w:val="00E54A97"/>
    <w:rsid w:val="00E67143"/>
    <w:rsid w:val="00E757CF"/>
    <w:rsid w:val="00E80B48"/>
    <w:rsid w:val="00E946E0"/>
    <w:rsid w:val="00EB2EDD"/>
    <w:rsid w:val="00EB4940"/>
    <w:rsid w:val="00EB752F"/>
    <w:rsid w:val="00EB7B39"/>
    <w:rsid w:val="00EC283A"/>
    <w:rsid w:val="00EC3844"/>
    <w:rsid w:val="00EC676D"/>
    <w:rsid w:val="00EE7AAA"/>
    <w:rsid w:val="00F03833"/>
    <w:rsid w:val="00F039A0"/>
    <w:rsid w:val="00F03DEB"/>
    <w:rsid w:val="00F162C4"/>
    <w:rsid w:val="00F27895"/>
    <w:rsid w:val="00F54B05"/>
    <w:rsid w:val="00F65FDE"/>
    <w:rsid w:val="00F73A0B"/>
    <w:rsid w:val="00FB6FB3"/>
    <w:rsid w:val="00FC75DA"/>
    <w:rsid w:val="00FD35E2"/>
    <w:rsid w:val="00FF42FF"/>
    <w:rsid w:val="02AD69FC"/>
    <w:rsid w:val="02D967FB"/>
    <w:rsid w:val="02F131FB"/>
    <w:rsid w:val="03226A44"/>
    <w:rsid w:val="060596A0"/>
    <w:rsid w:val="061E1847"/>
    <w:rsid w:val="08C1BBAB"/>
    <w:rsid w:val="0A250DE1"/>
    <w:rsid w:val="0DBCF737"/>
    <w:rsid w:val="0E488410"/>
    <w:rsid w:val="0F9D6D2D"/>
    <w:rsid w:val="113F4E91"/>
    <w:rsid w:val="12479851"/>
    <w:rsid w:val="1340634E"/>
    <w:rsid w:val="13418C12"/>
    <w:rsid w:val="1398FE58"/>
    <w:rsid w:val="13A85BD0"/>
    <w:rsid w:val="15E0656B"/>
    <w:rsid w:val="18C1698C"/>
    <w:rsid w:val="19C24CCE"/>
    <w:rsid w:val="1B1A5530"/>
    <w:rsid w:val="1BE1564F"/>
    <w:rsid w:val="1C3F3826"/>
    <w:rsid w:val="1E7B8CC0"/>
    <w:rsid w:val="20C342AF"/>
    <w:rsid w:val="21F2981E"/>
    <w:rsid w:val="227C22E3"/>
    <w:rsid w:val="23F3606E"/>
    <w:rsid w:val="2409304C"/>
    <w:rsid w:val="2438308B"/>
    <w:rsid w:val="26A5A6F1"/>
    <w:rsid w:val="26B32407"/>
    <w:rsid w:val="27DFAFDB"/>
    <w:rsid w:val="288FAACF"/>
    <w:rsid w:val="29049F68"/>
    <w:rsid w:val="291DBB2E"/>
    <w:rsid w:val="2B2BF00B"/>
    <w:rsid w:val="30141464"/>
    <w:rsid w:val="31065C18"/>
    <w:rsid w:val="319B2C92"/>
    <w:rsid w:val="32FD8431"/>
    <w:rsid w:val="337AC9EF"/>
    <w:rsid w:val="34B90CC6"/>
    <w:rsid w:val="37C7A8DC"/>
    <w:rsid w:val="431B2D39"/>
    <w:rsid w:val="453AEFD5"/>
    <w:rsid w:val="45512C35"/>
    <w:rsid w:val="45EA6810"/>
    <w:rsid w:val="46012729"/>
    <w:rsid w:val="4915477A"/>
    <w:rsid w:val="4C749E1B"/>
    <w:rsid w:val="4CB12D9C"/>
    <w:rsid w:val="4DD389B4"/>
    <w:rsid w:val="4EB3F5E6"/>
    <w:rsid w:val="4EDEE61E"/>
    <w:rsid w:val="4FECA620"/>
    <w:rsid w:val="505E35EA"/>
    <w:rsid w:val="5096CBCF"/>
    <w:rsid w:val="5423A848"/>
    <w:rsid w:val="5445D1A0"/>
    <w:rsid w:val="55E1A201"/>
    <w:rsid w:val="56975E71"/>
    <w:rsid w:val="56F1E589"/>
    <w:rsid w:val="588DB5EA"/>
    <w:rsid w:val="58F743E8"/>
    <w:rsid w:val="5FEC5A02"/>
    <w:rsid w:val="60FE6DB7"/>
    <w:rsid w:val="631ED55F"/>
    <w:rsid w:val="66BDC0F3"/>
    <w:rsid w:val="672F50BD"/>
    <w:rsid w:val="688AB157"/>
    <w:rsid w:val="68FAECE9"/>
    <w:rsid w:val="6BAB55C5"/>
    <w:rsid w:val="6C271B8E"/>
    <w:rsid w:val="71D1A64E"/>
    <w:rsid w:val="7988B17C"/>
    <w:rsid w:val="79949814"/>
    <w:rsid w:val="7D614E78"/>
    <w:rsid w:val="7E86A1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9B193"/>
  <w15:docId w15:val="{E0CB9740-115D-4220-BEA6-1A68B012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E5A"/>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Report Heading 1,Section Heading,T_SZ_Heading 1"/>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h2"/>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3"/>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Report Heading 1 Znak,Section Heading Znak,T_SZ_Heading 1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uiPriority w:val="99"/>
    <w:rsid w:val="00A30967"/>
    <w:pPr>
      <w:tabs>
        <w:tab w:val="center" w:pos="4536"/>
        <w:tab w:val="right" w:pos="9072"/>
      </w:tabs>
    </w:pPr>
    <w:rPr>
      <w:sz w:val="20"/>
      <w:szCs w:val="20"/>
    </w:rPr>
  </w:style>
  <w:style w:type="character" w:customStyle="1" w:styleId="StopkaZnak">
    <w:name w:val="Stopka Znak"/>
    <w:basedOn w:val="Domylnaczcionkaakapitu"/>
    <w:link w:val="Stopka"/>
    <w:uiPriority w:val="99"/>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uiPriority w:val="10"/>
    <w:qFormat/>
    <w:rsid w:val="00A30967"/>
    <w:pPr>
      <w:jc w:val="center"/>
    </w:pPr>
    <w:rPr>
      <w:sz w:val="28"/>
      <w:szCs w:val="28"/>
    </w:rPr>
  </w:style>
  <w:style w:type="character" w:customStyle="1" w:styleId="TytuZnak">
    <w:name w:val="Tytuł Znak"/>
    <w:basedOn w:val="Domylnaczcionkaakapitu"/>
    <w:link w:val="Tytu"/>
    <w:uiPriority w:val="10"/>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uiPriority w:val="99"/>
    <w:rsid w:val="00A30967"/>
    <w:pPr>
      <w:ind w:left="1416"/>
    </w:pPr>
    <w:rPr>
      <w:sz w:val="32"/>
      <w:szCs w:val="32"/>
    </w:rPr>
  </w:style>
  <w:style w:type="character" w:customStyle="1" w:styleId="TekstpodstawowywcityZnak">
    <w:name w:val="Tekst podstawowy wcięty Znak"/>
    <w:basedOn w:val="Domylnaczcionkaakapitu"/>
    <w:link w:val="Tekstpodstawowywcity"/>
    <w:uiPriority w:val="99"/>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uiPriority w:val="20"/>
    <w:qFormat/>
    <w:rsid w:val="00A30967"/>
    <w:rPr>
      <w:i/>
      <w:iCs/>
    </w:rPr>
  </w:style>
  <w:style w:type="paragraph" w:styleId="Tekstdymka">
    <w:name w:val="Balloon Text"/>
    <w:basedOn w:val="Normalny"/>
    <w:link w:val="TekstdymkaZnak"/>
    <w:uiPriority w:val="99"/>
    <w:semiHidden/>
    <w:rsid w:val="00A30967"/>
    <w:rPr>
      <w:rFonts w:ascii="Tahoma" w:hAnsi="Tahoma" w:cs="Tahoma"/>
      <w:sz w:val="16"/>
      <w:szCs w:val="16"/>
    </w:rPr>
  </w:style>
  <w:style w:type="character" w:customStyle="1" w:styleId="TekstdymkaZnak">
    <w:name w:val="Tekst dymka Znak"/>
    <w:basedOn w:val="Domylnaczcionkaakapitu"/>
    <w:link w:val="Tekstdymka"/>
    <w:uiPriority w:val="99"/>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uiPriority w:val="99"/>
    <w:rsid w:val="00A30967"/>
    <w:rPr>
      <w:b/>
      <w:bCs/>
    </w:rPr>
  </w:style>
  <w:style w:type="character" w:customStyle="1" w:styleId="TematkomentarzaZnak">
    <w:name w:val="Temat komentarza Znak"/>
    <w:basedOn w:val="TekstkomentarzaZnak"/>
    <w:link w:val="Tematkomentarza"/>
    <w:uiPriority w:val="99"/>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uiPriority w:val="99"/>
    <w:rsid w:val="00A30967"/>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uiPriority w:val="99"/>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rsid w:val="00A30967"/>
    <w:rPr>
      <w:sz w:val="20"/>
      <w:szCs w:val="20"/>
    </w:rPr>
  </w:style>
  <w:style w:type="character" w:customStyle="1" w:styleId="TekstprzypisukocowegoZnak">
    <w:name w:val="Tekst przypisu końcowego Znak"/>
    <w:basedOn w:val="Domylnaczcionkaakapitu"/>
    <w:link w:val="Tekstprzypisukocowego"/>
    <w:uiPriority w:val="99"/>
    <w:rsid w:val="00A30967"/>
    <w:rPr>
      <w:rFonts w:ascii="Times New Roman" w:eastAsia="Times New Roman" w:hAnsi="Times New Roman" w:cs="Times New Roman"/>
      <w:sz w:val="20"/>
      <w:szCs w:val="20"/>
      <w:lang w:eastAsia="pl-PL"/>
    </w:rPr>
  </w:style>
  <w:style w:type="character" w:styleId="Odwoanieprzypisukocowego">
    <w:name w:val="endnote reference"/>
    <w:uiPriority w:val="99"/>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uiPriority w:val="3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uiPriority w:val="11"/>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uiPriority w:val="11"/>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link w:val="BezodstpwZnak"/>
    <w:uiPriority w:val="1"/>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9"/>
      </w:numPr>
    </w:pPr>
  </w:style>
  <w:style w:type="numbering" w:customStyle="1" w:styleId="WW8Num3">
    <w:name w:val="WW8Num3"/>
    <w:basedOn w:val="Bezlisty"/>
    <w:rsid w:val="00A30967"/>
    <w:pPr>
      <w:numPr>
        <w:numId w:val="10"/>
      </w:numPr>
    </w:pPr>
  </w:style>
  <w:style w:type="numbering" w:customStyle="1" w:styleId="WW8Num25">
    <w:name w:val="WW8Num25"/>
    <w:basedOn w:val="Bezlisty"/>
    <w:rsid w:val="00A30967"/>
    <w:pPr>
      <w:numPr>
        <w:numId w:val="11"/>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4"/>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5916C0"/>
    <w:pPr>
      <w:tabs>
        <w:tab w:val="right" w:leader="dot" w:pos="9061"/>
      </w:tabs>
      <w:spacing w:before="240"/>
      <w:jc w:val="both"/>
    </w:pPr>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T_SZ_Caption"/>
    <w:basedOn w:val="Normalny"/>
    <w:next w:val="Normalny"/>
    <w:link w:val="LegendaZnak"/>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rsid w:val="00A30967"/>
    <w:pPr>
      <w:ind w:left="1415" w:hanging="283"/>
    </w:pPr>
    <w:rPr>
      <w:szCs w:val="20"/>
    </w:rPr>
  </w:style>
  <w:style w:type="paragraph" w:styleId="Listapunktowana2">
    <w:name w:val="List Bullet 2"/>
    <w:basedOn w:val="Normalny"/>
    <w:uiPriority w:val="99"/>
    <w:semiHidden/>
    <w:rsid w:val="00A30967"/>
    <w:pPr>
      <w:numPr>
        <w:numId w:val="12"/>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3"/>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5"/>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6"/>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9"/>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9"/>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20"/>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20"/>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20"/>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20"/>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1"/>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7"/>
      </w:numPr>
    </w:pPr>
  </w:style>
  <w:style w:type="numbering" w:customStyle="1" w:styleId="Biecalista1">
    <w:name w:val="Bieżąca lista1"/>
    <w:rsid w:val="00A30967"/>
    <w:pPr>
      <w:numPr>
        <w:numId w:val="18"/>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2"/>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3"/>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5"/>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6"/>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7"/>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8"/>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8"/>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9"/>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9"/>
      </w:numPr>
      <w:spacing w:before="120"/>
      <w:jc w:val="both"/>
    </w:pPr>
    <w:rPr>
      <w:rFonts w:ascii="Arial" w:hAnsi="Arial" w:cs="Arial"/>
      <w:sz w:val="22"/>
      <w:szCs w:val="22"/>
    </w:rPr>
  </w:style>
  <w:style w:type="paragraph" w:customStyle="1" w:styleId="P111">
    <w:name w:val="P 1.1.1."/>
    <w:basedOn w:val="P11"/>
    <w:qFormat/>
    <w:rsid w:val="00A30967"/>
    <w:pPr>
      <w:numPr>
        <w:ilvl w:val="2"/>
      </w:numPr>
      <w:spacing w:after="24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30"/>
      </w:numPr>
    </w:pPr>
  </w:style>
  <w:style w:type="numbering" w:customStyle="1" w:styleId="WW8Num20">
    <w:name w:val="WW8Num20"/>
    <w:basedOn w:val="Bezlisty"/>
    <w:rsid w:val="00A30967"/>
    <w:pPr>
      <w:numPr>
        <w:numId w:val="31"/>
      </w:numPr>
    </w:pPr>
  </w:style>
  <w:style w:type="numbering" w:customStyle="1" w:styleId="WW8Num24">
    <w:name w:val="WW8Num24"/>
    <w:basedOn w:val="Bezlisty"/>
    <w:rsid w:val="00A30967"/>
    <w:pPr>
      <w:numPr>
        <w:numId w:val="32"/>
      </w:numPr>
    </w:pPr>
  </w:style>
  <w:style w:type="numbering" w:customStyle="1" w:styleId="WW8Num40">
    <w:name w:val="WW8Num40"/>
    <w:basedOn w:val="Bezlisty"/>
    <w:rsid w:val="00A30967"/>
    <w:pPr>
      <w:numPr>
        <w:numId w:val="33"/>
      </w:numPr>
    </w:pPr>
  </w:style>
  <w:style w:type="numbering" w:customStyle="1" w:styleId="WW8Num50">
    <w:name w:val="WW8Num50"/>
    <w:basedOn w:val="Bezlisty"/>
    <w:rsid w:val="00A30967"/>
    <w:pPr>
      <w:numPr>
        <w:numId w:val="34"/>
      </w:numPr>
    </w:pPr>
  </w:style>
  <w:style w:type="numbering" w:customStyle="1" w:styleId="WW8Num59">
    <w:name w:val="WW8Num59"/>
    <w:basedOn w:val="Bezlisty"/>
    <w:rsid w:val="00A30967"/>
    <w:pPr>
      <w:numPr>
        <w:numId w:val="35"/>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8"/>
      </w:numPr>
    </w:pPr>
  </w:style>
  <w:style w:type="numbering" w:customStyle="1" w:styleId="WW8Num512">
    <w:name w:val="WW8Num512"/>
    <w:basedOn w:val="Bezlisty"/>
    <w:rsid w:val="00A30967"/>
    <w:pPr>
      <w:numPr>
        <w:numId w:val="5"/>
      </w:numPr>
    </w:pPr>
  </w:style>
  <w:style w:type="numbering" w:customStyle="1" w:styleId="WW8Num31">
    <w:name w:val="WW8Num31"/>
    <w:basedOn w:val="Bezlisty"/>
    <w:rsid w:val="00A30967"/>
    <w:pPr>
      <w:numPr>
        <w:numId w:val="6"/>
      </w:numPr>
    </w:pPr>
  </w:style>
  <w:style w:type="numbering" w:customStyle="1" w:styleId="WW8Num251">
    <w:name w:val="WW8Num251"/>
    <w:basedOn w:val="Bezlisty"/>
    <w:rsid w:val="00A30967"/>
    <w:pPr>
      <w:numPr>
        <w:numId w:val="7"/>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4"/>
      </w:numPr>
    </w:pPr>
  </w:style>
  <w:style w:type="numbering" w:customStyle="1" w:styleId="Biecalista11">
    <w:name w:val="Bieżąca lista11"/>
    <w:rsid w:val="00A30967"/>
    <w:pPr>
      <w:numPr>
        <w:numId w:val="40"/>
      </w:numPr>
    </w:pPr>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unhideWhenUsed/>
    <w:rsid w:val="000438E3"/>
    <w:rPr>
      <w:color w:val="605E5C"/>
      <w:shd w:val="clear" w:color="auto" w:fill="E1DFDD"/>
    </w:rPr>
  </w:style>
  <w:style w:type="paragraph" w:styleId="Lista3">
    <w:name w:val="List 3"/>
    <w:basedOn w:val="Normalny"/>
    <w:uiPriority w:val="99"/>
    <w:unhideWhenUsed/>
    <w:rsid w:val="00662E2D"/>
    <w:pPr>
      <w:ind w:left="849" w:hanging="283"/>
      <w:contextualSpacing/>
    </w:pPr>
  </w:style>
  <w:style w:type="paragraph" w:styleId="Tekstpodstawowyzwciciem2">
    <w:name w:val="Body Text First Indent 2"/>
    <w:basedOn w:val="Tekstpodstawowywcity"/>
    <w:link w:val="Tekstpodstawowyzwciciem2Znak"/>
    <w:uiPriority w:val="99"/>
    <w:unhideWhenUsed/>
    <w:rsid w:val="00662E2D"/>
    <w:pPr>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662E2D"/>
    <w:rPr>
      <w:rFonts w:ascii="Times New Roman" w:eastAsia="Times New Roman" w:hAnsi="Times New Roman" w:cs="Times New Roman"/>
      <w:sz w:val="24"/>
      <w:szCs w:val="24"/>
      <w:lang w:eastAsia="pl-PL"/>
    </w:rPr>
  </w:style>
  <w:style w:type="character" w:customStyle="1" w:styleId="BezodstpwZnak">
    <w:name w:val="Bez odstępów Znak"/>
    <w:basedOn w:val="Domylnaczcionkaakapitu"/>
    <w:link w:val="Bezodstpw"/>
    <w:uiPriority w:val="1"/>
    <w:rsid w:val="00662E2D"/>
    <w:rPr>
      <w:rFonts w:ascii="Times New Roman" w:hAnsi="Times New Roman" w:cs="Times New Roman"/>
      <w:sz w:val="24"/>
      <w:szCs w:val="24"/>
    </w:rPr>
  </w:style>
  <w:style w:type="paragraph" w:styleId="Lista-kontynuacja">
    <w:name w:val="List Continue"/>
    <w:basedOn w:val="Normalny"/>
    <w:uiPriority w:val="99"/>
    <w:unhideWhenUsed/>
    <w:rsid w:val="00662E2D"/>
    <w:pPr>
      <w:spacing w:after="120" w:line="276" w:lineRule="auto"/>
      <w:ind w:left="283"/>
      <w:contextualSpacing/>
    </w:pPr>
    <w:rPr>
      <w:rFonts w:asciiTheme="minorHAnsi" w:eastAsiaTheme="minorHAnsi" w:hAnsiTheme="minorHAnsi" w:cstheme="minorBidi"/>
      <w:sz w:val="22"/>
      <w:szCs w:val="22"/>
      <w:lang w:eastAsia="en-US"/>
    </w:rPr>
  </w:style>
  <w:style w:type="paragraph" w:styleId="Lista4">
    <w:name w:val="List 4"/>
    <w:basedOn w:val="Normalny"/>
    <w:uiPriority w:val="99"/>
    <w:unhideWhenUsed/>
    <w:rsid w:val="00662E2D"/>
    <w:pPr>
      <w:spacing w:after="200" w:line="276" w:lineRule="auto"/>
      <w:ind w:left="1132" w:hanging="283"/>
      <w:contextualSpacing/>
    </w:pPr>
    <w:rPr>
      <w:rFonts w:asciiTheme="minorHAnsi" w:eastAsiaTheme="minorHAnsi" w:hAnsiTheme="minorHAnsi" w:cstheme="minorBidi"/>
      <w:sz w:val="22"/>
      <w:szCs w:val="22"/>
      <w:lang w:eastAsia="en-US"/>
    </w:rPr>
  </w:style>
  <w:style w:type="character" w:customStyle="1" w:styleId="highlight">
    <w:name w:val="highlight"/>
    <w:basedOn w:val="Domylnaczcionkaakapitu"/>
    <w:rsid w:val="00662E2D"/>
  </w:style>
  <w:style w:type="paragraph" w:customStyle="1" w:styleId="ODNONIKtreodnonika">
    <w:name w:val="ODNOŚNIK – treść odnośnika"/>
    <w:uiPriority w:val="19"/>
    <w:qFormat/>
    <w:rsid w:val="00662E2D"/>
    <w:pPr>
      <w:spacing w:after="0" w:line="240" w:lineRule="auto"/>
      <w:ind w:left="284" w:hanging="284"/>
      <w:jc w:val="both"/>
    </w:pPr>
    <w:rPr>
      <w:rFonts w:ascii="Times New Roman" w:eastAsiaTheme="minorEastAsia" w:hAnsi="Times New Roman" w:cs="Arial"/>
      <w:sz w:val="20"/>
      <w:szCs w:val="20"/>
      <w:lang w:eastAsia="pl-PL"/>
    </w:rPr>
  </w:style>
  <w:style w:type="character" w:customStyle="1" w:styleId="IGindeksgrny">
    <w:name w:val="_IG_ – indeks górny"/>
    <w:basedOn w:val="Domylnaczcionkaakapitu"/>
    <w:uiPriority w:val="2"/>
    <w:qFormat/>
    <w:rsid w:val="00662E2D"/>
    <w:rPr>
      <w:b w:val="0"/>
      <w:i w:val="0"/>
      <w:vanish w:val="0"/>
      <w:spacing w:val="0"/>
      <w:vertAlign w:val="superscript"/>
    </w:rPr>
  </w:style>
  <w:style w:type="paragraph" w:customStyle="1" w:styleId="ABGTabelaHeaderdolewej">
    <w:name w:val="ABG_Tabela_Header_do_lewej"/>
    <w:basedOn w:val="Normalny"/>
    <w:rsid w:val="00662E2D"/>
    <w:pPr>
      <w:spacing w:before="120" w:after="120"/>
    </w:pPr>
    <w:rPr>
      <w:rFonts w:ascii="Tahoma" w:hAnsi="Tahoma"/>
      <w:b/>
      <w:sz w:val="20"/>
      <w:szCs w:val="20"/>
    </w:rPr>
  </w:style>
  <w:style w:type="paragraph" w:customStyle="1" w:styleId="Tabelatre">
    <w:name w:val="Tabela treść"/>
    <w:basedOn w:val="Normalny"/>
    <w:rsid w:val="00662E2D"/>
    <w:pPr>
      <w:spacing w:before="60" w:after="60"/>
    </w:pPr>
    <w:rPr>
      <w:rFonts w:ascii="Arial" w:hAnsi="Arial"/>
      <w:sz w:val="20"/>
      <w:szCs w:val="20"/>
    </w:rPr>
  </w:style>
  <w:style w:type="paragraph" w:customStyle="1" w:styleId="Tabelanagwek">
    <w:name w:val="Tabela nagłówek"/>
    <w:basedOn w:val="Tabelatre"/>
    <w:rsid w:val="00662E2D"/>
    <w:rPr>
      <w:b/>
    </w:rPr>
  </w:style>
  <w:style w:type="character" w:customStyle="1" w:styleId="mw-headline">
    <w:name w:val="mw-headline"/>
    <w:basedOn w:val="Domylnaczcionkaakapitu"/>
    <w:rsid w:val="00662E2D"/>
  </w:style>
  <w:style w:type="character" w:customStyle="1" w:styleId="ui-provider">
    <w:name w:val="ui-provider"/>
    <w:basedOn w:val="Domylnaczcionkaakapitu"/>
    <w:rsid w:val="00662E2D"/>
  </w:style>
  <w:style w:type="paragraph" w:customStyle="1" w:styleId="Tabela">
    <w:name w:val="Tabela"/>
    <w:basedOn w:val="Normalny"/>
    <w:uiPriority w:val="99"/>
    <w:rsid w:val="00662E2D"/>
    <w:pPr>
      <w:tabs>
        <w:tab w:val="left" w:pos="284"/>
        <w:tab w:val="left" w:pos="567"/>
      </w:tabs>
      <w:spacing w:before="60" w:after="60"/>
      <w:jc w:val="both"/>
    </w:pPr>
    <w:rPr>
      <w:rFonts w:ascii="Arial" w:hAnsi="Arial"/>
      <w:sz w:val="20"/>
      <w:szCs w:val="20"/>
      <w:lang w:val="en-US"/>
    </w:rPr>
  </w:style>
  <w:style w:type="paragraph" w:customStyle="1" w:styleId="Teksttabeli">
    <w:name w:val="Tekst tabeli"/>
    <w:basedOn w:val="Tabela"/>
    <w:uiPriority w:val="99"/>
    <w:rsid w:val="00662E2D"/>
  </w:style>
  <w:style w:type="table" w:styleId="Kolorowecieniowanieakcent1">
    <w:name w:val="Colorful Shading Accent 1"/>
    <w:basedOn w:val="Standardowy"/>
    <w:uiPriority w:val="71"/>
    <w:rsid w:val="00662E2D"/>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Zwykatabela1">
    <w:name w:val="Plain Table 1"/>
    <w:basedOn w:val="Standardowy"/>
    <w:uiPriority w:val="41"/>
    <w:rsid w:val="00662E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5">
    <w:name w:val="Plain Table 5"/>
    <w:basedOn w:val="Standardowy"/>
    <w:uiPriority w:val="45"/>
    <w:rsid w:val="00662E2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iatki1jasnaakcent1">
    <w:name w:val="Grid Table 1 Light Accent 1"/>
    <w:basedOn w:val="Standardowy"/>
    <w:uiPriority w:val="46"/>
    <w:rsid w:val="00662E2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SZNagwkinienumerowane">
    <w:name w:val="T_SZ_Nagłówki nienumerowane"/>
    <w:basedOn w:val="Normalny"/>
    <w:next w:val="Tekstpodstawowy"/>
    <w:locked/>
    <w:rsid w:val="00662E2D"/>
    <w:pPr>
      <w:spacing w:before="120" w:after="240" w:line="240" w:lineRule="atLeast"/>
      <w:jc w:val="both"/>
    </w:pPr>
    <w:rPr>
      <w:rFonts w:ascii="Arial" w:hAnsi="Arial"/>
      <w:b/>
      <w:color w:val="99CCFF"/>
      <w:sz w:val="20"/>
    </w:rPr>
  </w:style>
  <w:style w:type="paragraph" w:customStyle="1" w:styleId="Referencja">
    <w:name w:val="Referencja"/>
    <w:basedOn w:val="Normalny"/>
    <w:rsid w:val="00662E2D"/>
    <w:pPr>
      <w:numPr>
        <w:numId w:val="71"/>
      </w:numPr>
      <w:overflowPunct w:val="0"/>
      <w:autoSpaceDE w:val="0"/>
      <w:autoSpaceDN w:val="0"/>
      <w:adjustRightInd w:val="0"/>
      <w:spacing w:before="120"/>
      <w:textAlignment w:val="baseline"/>
    </w:pPr>
    <w:rPr>
      <w:sz w:val="20"/>
      <w:szCs w:val="20"/>
    </w:rPr>
  </w:style>
  <w:style w:type="character" w:customStyle="1" w:styleId="TSZHeading2CharChar">
    <w:name w:val="T_SZ_ Heading 2 Char Char"/>
    <w:basedOn w:val="Domylnaczcionkaakapitu"/>
    <w:link w:val="TSZHeading2"/>
    <w:rsid w:val="00662E2D"/>
    <w:rPr>
      <w:rFonts w:ascii="Arial" w:eastAsia="Times New Roman" w:hAnsi="Arial" w:cs="Arial"/>
      <w:b/>
      <w:bCs/>
      <w:i/>
      <w:iCs/>
      <w:color w:val="99CCFF"/>
      <w:sz w:val="28"/>
      <w:szCs w:val="28"/>
      <w:lang w:val="en-GB"/>
    </w:rPr>
  </w:style>
  <w:style w:type="paragraph" w:customStyle="1" w:styleId="TSZHeading2">
    <w:name w:val="T_SZ_ Heading 2"/>
    <w:basedOn w:val="Nagwek2"/>
    <w:link w:val="TSZHeading2CharChar"/>
    <w:locked/>
    <w:rsid w:val="00662E2D"/>
    <w:pPr>
      <w:numPr>
        <w:ilvl w:val="1"/>
        <w:numId w:val="71"/>
      </w:numPr>
      <w:spacing w:before="240" w:after="60" w:line="240" w:lineRule="atLeast"/>
    </w:pPr>
    <w:rPr>
      <w:rFonts w:ascii="Arial" w:hAnsi="Arial" w:cs="Arial"/>
      <w:b/>
      <w:bCs/>
      <w:i/>
      <w:iCs/>
      <w:color w:val="99CCFF"/>
      <w:sz w:val="28"/>
      <w:szCs w:val="28"/>
      <w:lang w:val="en-GB" w:eastAsia="en-US"/>
    </w:rPr>
  </w:style>
  <w:style w:type="paragraph" w:styleId="Spisilustracji">
    <w:name w:val="table of figures"/>
    <w:basedOn w:val="Normalny"/>
    <w:next w:val="Normalny"/>
    <w:uiPriority w:val="99"/>
    <w:rsid w:val="00662E2D"/>
    <w:pPr>
      <w:spacing w:before="120" w:line="240" w:lineRule="atLeast"/>
    </w:pPr>
    <w:rPr>
      <w:rFonts w:ascii="Arial" w:hAnsi="Arial"/>
      <w:sz w:val="20"/>
      <w:szCs w:val="20"/>
      <w:lang w:val="en-GB" w:eastAsia="en-US"/>
    </w:rPr>
  </w:style>
  <w:style w:type="character" w:customStyle="1" w:styleId="LegendaZnak">
    <w:name w:val="Legenda Znak"/>
    <w:aliases w:val="Podpis pod rysunkiem Znak,Nagłówek Tabeli Znak,Normalny1 Znak,T_SZ_Caption Znak"/>
    <w:basedOn w:val="Domylnaczcionkaakapitu"/>
    <w:link w:val="Legenda"/>
    <w:rsid w:val="00662E2D"/>
    <w:rPr>
      <w:rFonts w:ascii="Arial" w:eastAsia="Times New Roman" w:hAnsi="Arial" w:cs="Times New Roman"/>
      <w:bCs/>
      <w:szCs w:val="20"/>
      <w:lang w:eastAsia="ar-SA"/>
    </w:rPr>
  </w:style>
  <w:style w:type="character" w:styleId="Wzmianka">
    <w:name w:val="Mention"/>
    <w:basedOn w:val="Domylnaczcionkaakapitu"/>
    <w:uiPriority w:val="99"/>
    <w:unhideWhenUsed/>
    <w:rsid w:val="00662E2D"/>
    <w:rPr>
      <w:color w:val="2B579A"/>
      <w:shd w:val="clear" w:color="auto" w:fill="E1DFDD"/>
    </w:rPr>
  </w:style>
  <w:style w:type="paragraph" w:customStyle="1" w:styleId="Podtytudokumentu">
    <w:name w:val="Podtytuł dokumentu"/>
    <w:basedOn w:val="Tekstblokowy"/>
    <w:rsid w:val="00662E2D"/>
    <w:pPr>
      <w:ind w:left="284" w:right="-852"/>
      <w:jc w:val="right"/>
    </w:pPr>
    <w:rPr>
      <w:rFonts w:ascii="Verdana" w:hAnsi="Verdana"/>
      <w:color w:val="365F91" w:themeColor="accent1" w:themeShade="BF"/>
      <w:sz w:val="32"/>
      <w:szCs w:val="20"/>
      <w:lang w:eastAsia="pl-PL"/>
    </w:rPr>
  </w:style>
  <w:style w:type="table" w:styleId="Jasnecieniowanieakcent1">
    <w:name w:val="Light Shading Accent 1"/>
    <w:basedOn w:val="Standardowy"/>
    <w:uiPriority w:val="60"/>
    <w:rsid w:val="00662E2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paragraph">
    <w:name w:val="paragraph"/>
    <w:basedOn w:val="Normalny"/>
    <w:rsid w:val="00662E2D"/>
    <w:pPr>
      <w:spacing w:before="100" w:beforeAutospacing="1" w:after="100" w:afterAutospacing="1"/>
    </w:pPr>
  </w:style>
  <w:style w:type="character" w:customStyle="1" w:styleId="normaltextrun">
    <w:name w:val="normaltextrun"/>
    <w:basedOn w:val="Domylnaczcionkaakapitu"/>
    <w:rsid w:val="00662E2D"/>
  </w:style>
  <w:style w:type="character" w:customStyle="1" w:styleId="eop">
    <w:name w:val="eop"/>
    <w:basedOn w:val="Domylnaczcionkaakapitu"/>
    <w:rsid w:val="00662E2D"/>
  </w:style>
  <w:style w:type="character" w:customStyle="1" w:styleId="tabchar">
    <w:name w:val="tabchar"/>
    <w:basedOn w:val="Domylnaczcionkaakapitu"/>
    <w:rsid w:val="00662E2D"/>
  </w:style>
  <w:style w:type="character" w:customStyle="1" w:styleId="scxw266162832">
    <w:name w:val="scxw266162832"/>
    <w:basedOn w:val="Domylnaczcionkaakapitu"/>
    <w:rsid w:val="00662E2D"/>
  </w:style>
  <w:style w:type="character" w:styleId="Wyrnienieintensywne">
    <w:name w:val="Intense Emphasis"/>
    <w:basedOn w:val="Domylnaczcionkaakapitu"/>
    <w:uiPriority w:val="21"/>
    <w:qFormat/>
    <w:rsid w:val="000D3B07"/>
    <w:rPr>
      <w:i/>
      <w:iCs/>
      <w:color w:val="4F81BD" w:themeColor="accent1"/>
    </w:rPr>
  </w:style>
  <w:style w:type="paragraph" w:styleId="Cytat">
    <w:name w:val="Quote"/>
    <w:basedOn w:val="Normalny"/>
    <w:next w:val="Normalny"/>
    <w:link w:val="CytatZnak"/>
    <w:uiPriority w:val="29"/>
    <w:qFormat/>
    <w:rsid w:val="000D3B07"/>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0D3B07"/>
    <w:rPr>
      <w:rFonts w:ascii="Times New Roman" w:eastAsia="Times New Roman" w:hAnsi="Times New Roman" w:cs="Times New Roman"/>
      <w:i/>
      <w:iCs/>
      <w:color w:val="404040" w:themeColor="text1" w:themeTint="BF"/>
      <w:sz w:val="24"/>
      <w:szCs w:val="24"/>
      <w:lang w:eastAsia="pl-PL"/>
    </w:rPr>
  </w:style>
  <w:style w:type="paragraph" w:styleId="Cytatintensywny">
    <w:name w:val="Intense Quote"/>
    <w:basedOn w:val="Normalny"/>
    <w:next w:val="Normalny"/>
    <w:link w:val="CytatintensywnyZnak"/>
    <w:uiPriority w:val="30"/>
    <w:qFormat/>
    <w:rsid w:val="000D3B0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0D3B07"/>
    <w:rPr>
      <w:rFonts w:ascii="Times New Roman" w:eastAsia="Times New Roman" w:hAnsi="Times New Roman" w:cs="Times New Roman"/>
      <w:i/>
      <w:iCs/>
      <w:color w:val="4F81BD" w:themeColor="accent1"/>
      <w:sz w:val="24"/>
      <w:szCs w:val="24"/>
      <w:lang w:eastAsia="pl-PL"/>
    </w:rPr>
  </w:style>
  <w:style w:type="character" w:styleId="Odwoaniedelikatne">
    <w:name w:val="Subtle Reference"/>
    <w:basedOn w:val="Domylnaczcionkaakapitu"/>
    <w:uiPriority w:val="31"/>
    <w:qFormat/>
    <w:rsid w:val="000D3B07"/>
    <w:rPr>
      <w:smallCaps/>
      <w:color w:val="5A5A5A" w:themeColor="text1" w:themeTint="A5"/>
    </w:rPr>
  </w:style>
  <w:style w:type="character" w:styleId="Odwoanieintensywne">
    <w:name w:val="Intense Reference"/>
    <w:basedOn w:val="Domylnaczcionkaakapitu"/>
    <w:uiPriority w:val="32"/>
    <w:qFormat/>
    <w:rsid w:val="000D3B0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634167">
      <w:bodyDiv w:val="1"/>
      <w:marLeft w:val="0"/>
      <w:marRight w:val="0"/>
      <w:marTop w:val="0"/>
      <w:marBottom w:val="0"/>
      <w:divBdr>
        <w:top w:val="none" w:sz="0" w:space="0" w:color="auto"/>
        <w:left w:val="none" w:sz="0" w:space="0" w:color="auto"/>
        <w:bottom w:val="none" w:sz="0" w:space="0" w:color="auto"/>
        <w:right w:val="none" w:sz="0" w:space="0" w:color="auto"/>
      </w:divBdr>
      <w:divsChild>
        <w:div w:id="136849064">
          <w:marLeft w:val="0"/>
          <w:marRight w:val="0"/>
          <w:marTop w:val="0"/>
          <w:marBottom w:val="240"/>
          <w:divBdr>
            <w:top w:val="single" w:sz="6" w:space="0" w:color="D9D9D9"/>
            <w:left w:val="single" w:sz="6" w:space="0" w:color="D9D9D9"/>
            <w:bottom w:val="single" w:sz="6" w:space="0" w:color="D9D9D9"/>
            <w:right w:val="single" w:sz="6" w:space="0" w:color="D9D9D9"/>
          </w:divBdr>
          <w:divsChild>
            <w:div w:id="1608928459">
              <w:marLeft w:val="0"/>
              <w:marRight w:val="0"/>
              <w:marTop w:val="0"/>
              <w:marBottom w:val="0"/>
              <w:divBdr>
                <w:top w:val="none" w:sz="0" w:space="0" w:color="auto"/>
                <w:left w:val="none" w:sz="0" w:space="0" w:color="auto"/>
                <w:bottom w:val="none" w:sz="0" w:space="0" w:color="auto"/>
                <w:right w:val="none" w:sz="0" w:space="0" w:color="auto"/>
              </w:divBdr>
            </w:div>
            <w:div w:id="1304844851">
              <w:marLeft w:val="0"/>
              <w:marRight w:val="0"/>
              <w:marTop w:val="0"/>
              <w:marBottom w:val="0"/>
              <w:divBdr>
                <w:top w:val="none" w:sz="0" w:space="0" w:color="auto"/>
                <w:left w:val="none" w:sz="0" w:space="0" w:color="auto"/>
                <w:bottom w:val="none" w:sz="0" w:space="0" w:color="auto"/>
                <w:right w:val="none" w:sz="0" w:space="0" w:color="auto"/>
              </w:divBdr>
              <w:divsChild>
                <w:div w:id="1023673223">
                  <w:marLeft w:val="0"/>
                  <w:marRight w:val="0"/>
                  <w:marTop w:val="0"/>
                  <w:marBottom w:val="0"/>
                  <w:divBdr>
                    <w:top w:val="none" w:sz="0" w:space="0" w:color="auto"/>
                    <w:left w:val="none" w:sz="0" w:space="0" w:color="auto"/>
                    <w:bottom w:val="none" w:sz="0" w:space="0" w:color="auto"/>
                    <w:right w:val="none" w:sz="0" w:space="0" w:color="auto"/>
                  </w:divBdr>
                  <w:divsChild>
                    <w:div w:id="1736002950">
                      <w:marLeft w:val="-120"/>
                      <w:marRight w:val="-120"/>
                      <w:marTop w:val="0"/>
                      <w:marBottom w:val="0"/>
                      <w:divBdr>
                        <w:top w:val="none" w:sz="0" w:space="0" w:color="auto"/>
                        <w:left w:val="none" w:sz="0" w:space="0" w:color="auto"/>
                        <w:bottom w:val="none" w:sz="0" w:space="0" w:color="auto"/>
                        <w:right w:val="none" w:sz="0" w:space="0" w:color="auto"/>
                      </w:divBdr>
                      <w:divsChild>
                        <w:div w:id="1433431449">
                          <w:marLeft w:val="0"/>
                          <w:marRight w:val="0"/>
                          <w:marTop w:val="0"/>
                          <w:marBottom w:val="240"/>
                          <w:divBdr>
                            <w:top w:val="none" w:sz="0" w:space="0" w:color="auto"/>
                            <w:left w:val="none" w:sz="0" w:space="0" w:color="auto"/>
                            <w:bottom w:val="none" w:sz="0" w:space="0" w:color="auto"/>
                            <w:right w:val="none" w:sz="0" w:space="0" w:color="auto"/>
                          </w:divBdr>
                          <w:divsChild>
                            <w:div w:id="613903837">
                              <w:marLeft w:val="0"/>
                              <w:marRight w:val="0"/>
                              <w:marTop w:val="0"/>
                              <w:marBottom w:val="0"/>
                              <w:divBdr>
                                <w:top w:val="single" w:sz="6" w:space="0" w:color="949494"/>
                                <w:left w:val="single" w:sz="6" w:space="0" w:color="949494"/>
                                <w:bottom w:val="single" w:sz="6" w:space="0" w:color="949494"/>
                                <w:right w:val="single" w:sz="6" w:space="0" w:color="949494"/>
                              </w:divBdr>
                              <w:divsChild>
                                <w:div w:id="57227561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002121191">
                          <w:marLeft w:val="0"/>
                          <w:marRight w:val="0"/>
                          <w:marTop w:val="0"/>
                          <w:marBottom w:val="240"/>
                          <w:divBdr>
                            <w:top w:val="none" w:sz="0" w:space="0" w:color="auto"/>
                            <w:left w:val="none" w:sz="0" w:space="0" w:color="auto"/>
                            <w:bottom w:val="none" w:sz="0" w:space="0" w:color="auto"/>
                            <w:right w:val="none" w:sz="0" w:space="0" w:color="auto"/>
                          </w:divBdr>
                          <w:divsChild>
                            <w:div w:id="950362787">
                              <w:marLeft w:val="0"/>
                              <w:marRight w:val="0"/>
                              <w:marTop w:val="0"/>
                              <w:marBottom w:val="0"/>
                              <w:divBdr>
                                <w:top w:val="single" w:sz="6" w:space="0" w:color="949494"/>
                                <w:left w:val="single" w:sz="6" w:space="0" w:color="949494"/>
                                <w:bottom w:val="single" w:sz="6" w:space="0" w:color="949494"/>
                                <w:right w:val="single" w:sz="6" w:space="0" w:color="949494"/>
                              </w:divBdr>
                              <w:divsChild>
                                <w:div w:id="69896614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450853845">
                          <w:marLeft w:val="0"/>
                          <w:marRight w:val="0"/>
                          <w:marTop w:val="0"/>
                          <w:marBottom w:val="240"/>
                          <w:divBdr>
                            <w:top w:val="none" w:sz="0" w:space="0" w:color="auto"/>
                            <w:left w:val="none" w:sz="0" w:space="0" w:color="auto"/>
                            <w:bottom w:val="none" w:sz="0" w:space="0" w:color="auto"/>
                            <w:right w:val="none" w:sz="0" w:space="0" w:color="auto"/>
                          </w:divBdr>
                        </w:div>
                        <w:div w:id="756630505">
                          <w:marLeft w:val="0"/>
                          <w:marRight w:val="0"/>
                          <w:marTop w:val="0"/>
                          <w:marBottom w:val="240"/>
                          <w:divBdr>
                            <w:top w:val="none" w:sz="0" w:space="0" w:color="auto"/>
                            <w:left w:val="none" w:sz="0" w:space="0" w:color="auto"/>
                            <w:bottom w:val="none" w:sz="0" w:space="0" w:color="auto"/>
                            <w:right w:val="none" w:sz="0" w:space="0" w:color="auto"/>
                          </w:divBdr>
                          <w:divsChild>
                            <w:div w:id="802769342">
                              <w:marLeft w:val="0"/>
                              <w:marRight w:val="0"/>
                              <w:marTop w:val="0"/>
                              <w:marBottom w:val="0"/>
                              <w:divBdr>
                                <w:top w:val="single" w:sz="6" w:space="0" w:color="949494"/>
                                <w:left w:val="single" w:sz="6" w:space="0" w:color="949494"/>
                                <w:bottom w:val="single" w:sz="6" w:space="0" w:color="949494"/>
                                <w:right w:val="single" w:sz="6" w:space="0" w:color="949494"/>
                              </w:divBdr>
                              <w:divsChild>
                                <w:div w:id="51230309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846539">
          <w:marLeft w:val="0"/>
          <w:marRight w:val="0"/>
          <w:marTop w:val="0"/>
          <w:marBottom w:val="240"/>
          <w:divBdr>
            <w:top w:val="single" w:sz="6" w:space="0" w:color="D9D9D9"/>
            <w:left w:val="single" w:sz="6" w:space="0" w:color="D9D9D9"/>
            <w:bottom w:val="single" w:sz="6" w:space="0" w:color="D9D9D9"/>
            <w:right w:val="single" w:sz="6" w:space="0" w:color="D9D9D9"/>
          </w:divBdr>
          <w:divsChild>
            <w:div w:id="91753384">
              <w:marLeft w:val="0"/>
              <w:marRight w:val="0"/>
              <w:marTop w:val="0"/>
              <w:marBottom w:val="0"/>
              <w:divBdr>
                <w:top w:val="none" w:sz="0" w:space="0" w:color="auto"/>
                <w:left w:val="none" w:sz="0" w:space="0" w:color="auto"/>
                <w:bottom w:val="none" w:sz="0" w:space="0" w:color="auto"/>
                <w:right w:val="none" w:sz="0" w:space="0" w:color="auto"/>
              </w:divBdr>
            </w:div>
            <w:div w:id="140779332">
              <w:marLeft w:val="0"/>
              <w:marRight w:val="0"/>
              <w:marTop w:val="0"/>
              <w:marBottom w:val="0"/>
              <w:divBdr>
                <w:top w:val="none" w:sz="0" w:space="0" w:color="auto"/>
                <w:left w:val="none" w:sz="0" w:space="0" w:color="auto"/>
                <w:bottom w:val="none" w:sz="0" w:space="0" w:color="auto"/>
                <w:right w:val="none" w:sz="0" w:space="0" w:color="auto"/>
              </w:divBdr>
              <w:divsChild>
                <w:div w:id="858543003">
                  <w:marLeft w:val="0"/>
                  <w:marRight w:val="0"/>
                  <w:marTop w:val="0"/>
                  <w:marBottom w:val="0"/>
                  <w:divBdr>
                    <w:top w:val="none" w:sz="0" w:space="0" w:color="auto"/>
                    <w:left w:val="none" w:sz="0" w:space="0" w:color="auto"/>
                    <w:bottom w:val="none" w:sz="0" w:space="0" w:color="auto"/>
                    <w:right w:val="none" w:sz="0" w:space="0" w:color="auto"/>
                  </w:divBdr>
                  <w:divsChild>
                    <w:div w:id="872041692">
                      <w:marLeft w:val="0"/>
                      <w:marRight w:val="0"/>
                      <w:marTop w:val="0"/>
                      <w:marBottom w:val="240"/>
                      <w:divBdr>
                        <w:top w:val="none" w:sz="0" w:space="0" w:color="auto"/>
                        <w:left w:val="none" w:sz="0" w:space="0" w:color="auto"/>
                        <w:bottom w:val="none" w:sz="0" w:space="0" w:color="auto"/>
                        <w:right w:val="none" w:sz="0" w:space="0" w:color="auto"/>
                      </w:divBdr>
                      <w:divsChild>
                        <w:div w:id="1263683450">
                          <w:marLeft w:val="0"/>
                          <w:marRight w:val="0"/>
                          <w:marTop w:val="0"/>
                          <w:marBottom w:val="0"/>
                          <w:divBdr>
                            <w:top w:val="none" w:sz="0" w:space="0" w:color="auto"/>
                            <w:left w:val="none" w:sz="0" w:space="0" w:color="auto"/>
                            <w:bottom w:val="none" w:sz="0" w:space="0" w:color="auto"/>
                            <w:right w:val="none" w:sz="0" w:space="0" w:color="auto"/>
                          </w:divBdr>
                          <w:divsChild>
                            <w:div w:id="72649047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681011306">
                      <w:marLeft w:val="0"/>
                      <w:marRight w:val="0"/>
                      <w:marTop w:val="0"/>
                      <w:marBottom w:val="240"/>
                      <w:divBdr>
                        <w:top w:val="none" w:sz="0" w:space="0" w:color="auto"/>
                        <w:left w:val="none" w:sz="0" w:space="0" w:color="auto"/>
                        <w:bottom w:val="none" w:sz="0" w:space="0" w:color="auto"/>
                        <w:right w:val="none" w:sz="0" w:space="0" w:color="auto"/>
                      </w:divBdr>
                      <w:divsChild>
                        <w:div w:id="508326037">
                          <w:marLeft w:val="0"/>
                          <w:marRight w:val="0"/>
                          <w:marTop w:val="0"/>
                          <w:marBottom w:val="0"/>
                          <w:divBdr>
                            <w:top w:val="none" w:sz="0" w:space="0" w:color="auto"/>
                            <w:left w:val="none" w:sz="0" w:space="0" w:color="auto"/>
                            <w:bottom w:val="none" w:sz="0" w:space="0" w:color="auto"/>
                            <w:right w:val="none" w:sz="0" w:space="0" w:color="auto"/>
                          </w:divBdr>
                          <w:divsChild>
                            <w:div w:id="101044753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452097337">
                      <w:marLeft w:val="0"/>
                      <w:marRight w:val="0"/>
                      <w:marTop w:val="0"/>
                      <w:marBottom w:val="240"/>
                      <w:divBdr>
                        <w:top w:val="none" w:sz="0" w:space="0" w:color="auto"/>
                        <w:left w:val="none" w:sz="0" w:space="0" w:color="auto"/>
                        <w:bottom w:val="none" w:sz="0" w:space="0" w:color="auto"/>
                        <w:right w:val="none" w:sz="0" w:space="0" w:color="auto"/>
                      </w:divBdr>
                      <w:divsChild>
                        <w:div w:id="269358065">
                          <w:marLeft w:val="0"/>
                          <w:marRight w:val="0"/>
                          <w:marTop w:val="0"/>
                          <w:marBottom w:val="0"/>
                          <w:divBdr>
                            <w:top w:val="none" w:sz="0" w:space="0" w:color="auto"/>
                            <w:left w:val="none" w:sz="0" w:space="0" w:color="auto"/>
                            <w:bottom w:val="none" w:sz="0" w:space="0" w:color="auto"/>
                            <w:right w:val="none" w:sz="0" w:space="0" w:color="auto"/>
                          </w:divBdr>
                          <w:divsChild>
                            <w:div w:id="12784128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665865896">
                      <w:marLeft w:val="-120"/>
                      <w:marRight w:val="-120"/>
                      <w:marTop w:val="0"/>
                      <w:marBottom w:val="0"/>
                      <w:divBdr>
                        <w:top w:val="none" w:sz="0" w:space="0" w:color="auto"/>
                        <w:left w:val="none" w:sz="0" w:space="0" w:color="auto"/>
                        <w:bottom w:val="none" w:sz="0" w:space="0" w:color="auto"/>
                        <w:right w:val="none" w:sz="0" w:space="0" w:color="auto"/>
                      </w:divBdr>
                      <w:divsChild>
                        <w:div w:id="967474325">
                          <w:marLeft w:val="0"/>
                          <w:marRight w:val="0"/>
                          <w:marTop w:val="0"/>
                          <w:marBottom w:val="240"/>
                          <w:divBdr>
                            <w:top w:val="none" w:sz="0" w:space="0" w:color="auto"/>
                            <w:left w:val="none" w:sz="0" w:space="0" w:color="auto"/>
                            <w:bottom w:val="none" w:sz="0" w:space="0" w:color="auto"/>
                            <w:right w:val="none" w:sz="0" w:space="0" w:color="auto"/>
                          </w:divBdr>
                        </w:div>
                        <w:div w:id="167641586">
                          <w:marLeft w:val="0"/>
                          <w:marRight w:val="0"/>
                          <w:marTop w:val="0"/>
                          <w:marBottom w:val="146"/>
                          <w:divBdr>
                            <w:top w:val="none" w:sz="0" w:space="0" w:color="auto"/>
                            <w:left w:val="none" w:sz="0" w:space="0" w:color="auto"/>
                            <w:bottom w:val="none" w:sz="0" w:space="0" w:color="auto"/>
                            <w:right w:val="none" w:sz="0" w:space="0" w:color="auto"/>
                          </w:divBdr>
                        </w:div>
                      </w:divsChild>
                    </w:div>
                  </w:divsChild>
                </w:div>
              </w:divsChild>
            </w:div>
          </w:divsChild>
        </w:div>
        <w:div w:id="1224102583">
          <w:marLeft w:val="0"/>
          <w:marRight w:val="0"/>
          <w:marTop w:val="0"/>
          <w:marBottom w:val="240"/>
          <w:divBdr>
            <w:top w:val="single" w:sz="6" w:space="0" w:color="D9D9D9"/>
            <w:left w:val="single" w:sz="6" w:space="0" w:color="D9D9D9"/>
            <w:bottom w:val="single" w:sz="6" w:space="0" w:color="D9D9D9"/>
            <w:right w:val="single" w:sz="6" w:space="0" w:color="D9D9D9"/>
          </w:divBdr>
          <w:divsChild>
            <w:div w:id="1206870964">
              <w:marLeft w:val="0"/>
              <w:marRight w:val="0"/>
              <w:marTop w:val="0"/>
              <w:marBottom w:val="0"/>
              <w:divBdr>
                <w:top w:val="none" w:sz="0" w:space="0" w:color="auto"/>
                <w:left w:val="none" w:sz="0" w:space="0" w:color="auto"/>
                <w:bottom w:val="none" w:sz="0" w:space="0" w:color="auto"/>
                <w:right w:val="none" w:sz="0" w:space="0" w:color="auto"/>
              </w:divBdr>
            </w:div>
            <w:div w:id="155267147">
              <w:marLeft w:val="0"/>
              <w:marRight w:val="0"/>
              <w:marTop w:val="0"/>
              <w:marBottom w:val="0"/>
              <w:divBdr>
                <w:top w:val="none" w:sz="0" w:space="0" w:color="auto"/>
                <w:left w:val="none" w:sz="0" w:space="0" w:color="auto"/>
                <w:bottom w:val="none" w:sz="0" w:space="0" w:color="auto"/>
                <w:right w:val="none" w:sz="0" w:space="0" w:color="auto"/>
              </w:divBdr>
              <w:divsChild>
                <w:div w:id="253129276">
                  <w:marLeft w:val="0"/>
                  <w:marRight w:val="0"/>
                  <w:marTop w:val="0"/>
                  <w:marBottom w:val="0"/>
                  <w:divBdr>
                    <w:top w:val="none" w:sz="0" w:space="0" w:color="auto"/>
                    <w:left w:val="none" w:sz="0" w:space="0" w:color="auto"/>
                    <w:bottom w:val="none" w:sz="0" w:space="0" w:color="auto"/>
                    <w:right w:val="none" w:sz="0" w:space="0" w:color="auto"/>
                  </w:divBdr>
                  <w:divsChild>
                    <w:div w:id="922372111">
                      <w:marLeft w:val="0"/>
                      <w:marRight w:val="0"/>
                      <w:marTop w:val="0"/>
                      <w:marBottom w:val="240"/>
                      <w:divBdr>
                        <w:top w:val="none" w:sz="0" w:space="0" w:color="auto"/>
                        <w:left w:val="none" w:sz="0" w:space="0" w:color="auto"/>
                        <w:bottom w:val="none" w:sz="0" w:space="0" w:color="auto"/>
                        <w:right w:val="none" w:sz="0" w:space="0" w:color="auto"/>
                      </w:divBdr>
                      <w:divsChild>
                        <w:div w:id="487744430">
                          <w:marLeft w:val="0"/>
                          <w:marRight w:val="0"/>
                          <w:marTop w:val="0"/>
                          <w:marBottom w:val="0"/>
                          <w:divBdr>
                            <w:top w:val="none" w:sz="0" w:space="0" w:color="auto"/>
                            <w:left w:val="none" w:sz="0" w:space="0" w:color="auto"/>
                            <w:bottom w:val="none" w:sz="0" w:space="0" w:color="auto"/>
                            <w:right w:val="none" w:sz="0" w:space="0" w:color="auto"/>
                          </w:divBdr>
                          <w:divsChild>
                            <w:div w:id="10454265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5259551">
                      <w:marLeft w:val="0"/>
                      <w:marRight w:val="0"/>
                      <w:marTop w:val="0"/>
                      <w:marBottom w:val="240"/>
                      <w:divBdr>
                        <w:top w:val="none" w:sz="0" w:space="0" w:color="auto"/>
                        <w:left w:val="none" w:sz="0" w:space="0" w:color="auto"/>
                        <w:bottom w:val="none" w:sz="0" w:space="0" w:color="auto"/>
                        <w:right w:val="none" w:sz="0" w:space="0" w:color="auto"/>
                      </w:divBdr>
                      <w:divsChild>
                        <w:div w:id="844324047">
                          <w:marLeft w:val="0"/>
                          <w:marRight w:val="0"/>
                          <w:marTop w:val="0"/>
                          <w:marBottom w:val="0"/>
                          <w:divBdr>
                            <w:top w:val="none" w:sz="0" w:space="0" w:color="auto"/>
                            <w:left w:val="none" w:sz="0" w:space="0" w:color="auto"/>
                            <w:bottom w:val="none" w:sz="0" w:space="0" w:color="auto"/>
                            <w:right w:val="none" w:sz="0" w:space="0" w:color="auto"/>
                          </w:divBdr>
                          <w:divsChild>
                            <w:div w:id="211590498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75454611">
                      <w:marLeft w:val="-120"/>
                      <w:marRight w:val="-120"/>
                      <w:marTop w:val="0"/>
                      <w:marBottom w:val="0"/>
                      <w:divBdr>
                        <w:top w:val="none" w:sz="0" w:space="0" w:color="auto"/>
                        <w:left w:val="none" w:sz="0" w:space="0" w:color="auto"/>
                        <w:bottom w:val="none" w:sz="0" w:space="0" w:color="auto"/>
                        <w:right w:val="none" w:sz="0" w:space="0" w:color="auto"/>
                      </w:divBdr>
                      <w:divsChild>
                        <w:div w:id="1223324829">
                          <w:marLeft w:val="0"/>
                          <w:marRight w:val="0"/>
                          <w:marTop w:val="0"/>
                          <w:marBottom w:val="240"/>
                          <w:divBdr>
                            <w:top w:val="none" w:sz="0" w:space="0" w:color="auto"/>
                            <w:left w:val="none" w:sz="0" w:space="0" w:color="auto"/>
                            <w:bottom w:val="none" w:sz="0" w:space="0" w:color="auto"/>
                            <w:right w:val="none" w:sz="0" w:space="0" w:color="auto"/>
                          </w:divBdr>
                        </w:div>
                        <w:div w:id="1604994832">
                          <w:marLeft w:val="0"/>
                          <w:marRight w:val="0"/>
                          <w:marTop w:val="0"/>
                          <w:marBottom w:val="240"/>
                          <w:divBdr>
                            <w:top w:val="none" w:sz="0" w:space="0" w:color="auto"/>
                            <w:left w:val="none" w:sz="0" w:space="0" w:color="auto"/>
                            <w:bottom w:val="none" w:sz="0" w:space="0" w:color="auto"/>
                            <w:right w:val="none" w:sz="0" w:space="0" w:color="auto"/>
                          </w:divBdr>
                        </w:div>
                        <w:div w:id="1623149724">
                          <w:marLeft w:val="0"/>
                          <w:marRight w:val="0"/>
                          <w:marTop w:val="0"/>
                          <w:marBottom w:val="146"/>
                          <w:divBdr>
                            <w:top w:val="none" w:sz="0" w:space="0" w:color="auto"/>
                            <w:left w:val="none" w:sz="0" w:space="0" w:color="auto"/>
                            <w:bottom w:val="none" w:sz="0" w:space="0" w:color="auto"/>
                            <w:right w:val="none" w:sz="0" w:space="0" w:color="auto"/>
                          </w:divBdr>
                        </w:div>
                      </w:divsChild>
                    </w:div>
                  </w:divsChild>
                </w:div>
              </w:divsChild>
            </w:div>
          </w:divsChild>
        </w:div>
        <w:div w:id="608703954">
          <w:marLeft w:val="0"/>
          <w:marRight w:val="0"/>
          <w:marTop w:val="0"/>
          <w:marBottom w:val="240"/>
          <w:divBdr>
            <w:top w:val="single" w:sz="6" w:space="0" w:color="D9D9D9"/>
            <w:left w:val="single" w:sz="6" w:space="0" w:color="D9D9D9"/>
            <w:bottom w:val="single" w:sz="6" w:space="0" w:color="D9D9D9"/>
            <w:right w:val="single" w:sz="6" w:space="0" w:color="D9D9D9"/>
          </w:divBdr>
          <w:divsChild>
            <w:div w:id="172544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Rysunek_programu_Microsoft_Visio_2003_20102.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s://prs.ms.gov.pl/"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Rysunek_programu_Microsoft_Visio_2003_20101.vsd"/><Relationship Id="rId20" Type="http://schemas.openxmlformats.org/officeDocument/2006/relationships/oleObject" Target="embeddings/Rysunek_programu_Microsoft_Visio_2003_20103.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rz.ms.gov.pl/"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s://pl.wikipedia.org/wiki/Post%C4%99powanie%20o%20Post&#281;powani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Rysunek_programu_Microsoft_Visio_2003_2010.vsd"/><Relationship Id="rId22" Type="http://schemas.openxmlformats.org/officeDocument/2006/relationships/oleObject" Target="embeddings/Rysunek_programu_Microsoft_Visio_2003_20104.vsd"/><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47E73F2FAC8D44946451B5C5A8E914" ma:contentTypeVersion="13" ma:contentTypeDescription="Create a new document." ma:contentTypeScope="" ma:versionID="47973e5a3ee39a5492466df2e294698b">
  <xsd:schema xmlns:xsd="http://www.w3.org/2001/XMLSchema" xmlns:xs="http://www.w3.org/2001/XMLSchema" xmlns:p="http://schemas.microsoft.com/office/2006/metadata/properties" xmlns:ns2="954d04a3-9784-4c99-8f63-cff93c96279d" xmlns:ns3="2d904222-5527-4acd-b4e4-3a58a93b92c2" targetNamespace="http://schemas.microsoft.com/office/2006/metadata/properties" ma:root="true" ma:fieldsID="b8d239e963b2b5d85b21053c6bfe19a8" ns2:_="" ns3:_="">
    <xsd:import namespace="954d04a3-9784-4c99-8f63-cff93c96279d"/>
    <xsd:import namespace="2d904222-5527-4acd-b4e4-3a58a93b92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d04a3-9784-4c99-8f63-cff93c962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2f6c6f8-f8c8-48bb-a465-faa54e84b416"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904222-5527-4acd-b4e4-3a58a93b92c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cdb018-187d-4b68-9178-e8759fd2b386}" ma:internalName="TaxCatchAll" ma:showField="CatchAllData" ma:web="2d904222-5527-4acd-b4e4-3a58a93b92c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d904222-5527-4acd-b4e4-3a58a93b92c2" xsi:nil="true"/>
    <lcf76f155ced4ddcb4097134ff3c332f xmlns="954d04a3-9784-4c99-8f63-cff93c9627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217490-CF25-4E19-9F7F-397DBBA3BB38}">
  <ds:schemaRefs>
    <ds:schemaRef ds:uri="http://schemas.openxmlformats.org/officeDocument/2006/bibliography"/>
  </ds:schemaRefs>
</ds:datastoreItem>
</file>

<file path=customXml/itemProps2.xml><?xml version="1.0" encoding="utf-8"?>
<ds:datastoreItem xmlns:ds="http://schemas.openxmlformats.org/officeDocument/2006/customXml" ds:itemID="{6846D61F-293A-43D7-8F68-F55C23BD4475}">
  <ds:schemaRefs>
    <ds:schemaRef ds:uri="http://schemas.microsoft.com/sharepoint/v3/contenttype/forms"/>
  </ds:schemaRefs>
</ds:datastoreItem>
</file>

<file path=customXml/itemProps3.xml><?xml version="1.0" encoding="utf-8"?>
<ds:datastoreItem xmlns:ds="http://schemas.openxmlformats.org/officeDocument/2006/customXml" ds:itemID="{6041869B-22B3-4570-AB98-2604D702D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d04a3-9784-4c99-8f63-cff93c96279d"/>
    <ds:schemaRef ds:uri="2d904222-5527-4acd-b4e4-3a58a93b9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45D18-40F7-42C4-90F1-C2CE574CBF9A}">
  <ds:schemaRefs>
    <ds:schemaRef ds:uri="http://schemas.microsoft.com/office/2006/metadata/properties"/>
    <ds:schemaRef ds:uri="http://schemas.microsoft.com/office/infopath/2007/PartnerControls"/>
    <ds:schemaRef ds:uri="2d904222-5527-4acd-b4e4-3a58a93b92c2"/>
    <ds:schemaRef ds:uri="954d04a3-9784-4c99-8f63-cff93c96279d"/>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27</Pages>
  <Words>8849</Words>
  <Characters>53096</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Szostak</dc:creator>
  <cp:lastModifiedBy>Kasprowicz Monika  (DIRS)</cp:lastModifiedBy>
  <cp:revision>206</cp:revision>
  <cp:lastPrinted>2017-04-20T12:57:00Z</cp:lastPrinted>
  <dcterms:created xsi:type="dcterms:W3CDTF">2020-08-19T12:18:00Z</dcterms:created>
  <dcterms:modified xsi:type="dcterms:W3CDTF">2023-09-11T08:31:00Z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0x0101008C47E73F2FAC8D44946451B5C5A8E914</vt:lpwstr>
  </property>
  <property fmtid="{D5CDD505-2E9C-101B-9397-08002B2CF9AE}" pid="3" name="MediaServiceImageTags">
    <vt:lpwstr/>
  </property>
</Properties>
</file>